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hd w:val="clear" w:color="auto" w:fill="ffffff"/>
        <w:tabs>
          <w:tab w:val="left" w:pos="6926" w:leader="none"/>
        </w:tabs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shd w:val="clear" w:color="auto" w:fill="ffffff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clear" w:color="auto" w:fill="ffffff"/>
        <w:tabs>
          <w:tab w:val="right" w:pos="9639" w:leader="none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hd w:val="clear" w:color="auto" w:fill="ffffff"/>
        <w:tabs>
          <w:tab w:val="right" w:pos="9639" w:leader="none"/>
        </w:tabs>
        <w:ind w:firstLine="709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___________________, с другой стороны,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</w:t>
      </w:r>
      <w:r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именуемые Стороны, а по отдельности Сторона, </w:t>
      </w:r>
      <w:r>
        <w:rPr>
          <w:sz w:val="24"/>
          <w:szCs w:val="24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23207000-ТПИР ОНМ ИТ-2026-ДГК </w:t>
      </w:r>
      <w:r>
        <w:rPr>
          <w:sz w:val="24"/>
          <w:szCs w:val="24"/>
          <w:highlight w:val="white"/>
          <w:lang w:eastAsia="en-US"/>
        </w:rPr>
        <w:t xml:space="preserve">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</w:t>
      </w:r>
      <w:r>
        <w:rPr>
          <w:sz w:val="24"/>
          <w:szCs w:val="24"/>
        </w:rPr>
        <w:t xml:space="preserve">ключили настоящий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(далее – «Договор»)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clear" w:color="auto" w:fill="ffffff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hd w:val="clear" w:color="auto" w:fill="ffffff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clear" w:color="auto" w:fill="ffffff"/>
        <w:ind w:firstLine="709"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</w:t>
      </w:r>
      <w:r>
        <w:rPr>
          <w:bCs/>
          <w:sz w:val="24"/>
          <w:szCs w:val="24"/>
          <w:highlight w:val="white"/>
        </w:rPr>
        <w:t xml:space="preserve">следующие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shd w:val="clear" w:color="auto" w:fill="ffffff"/>
        <w:ind w:firstLine="709"/>
        <w:jc w:val="both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shd w:val="clear" w:color="auto" w:fill="ffffff"/>
        <w:tabs>
          <w:tab w:val="left" w:pos="567" w:leader="none"/>
          <w:tab w:val="left" w:pos="1134" w:leader="none"/>
        </w:tabs>
        <w:ind w:left="0" w:firstLine="709"/>
        <w:jc w:val="both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«Гарантийный срок»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– период,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highlight w:val="white"/>
          <w:lang w:eastAsia="en-US"/>
        </w:rPr>
        <w:t xml:space="preserve">и Поставщик и/ или изготовитель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Товара </w:t>
      </w:r>
      <w:r>
        <w:rPr>
          <w:sz w:val="24"/>
          <w:szCs w:val="24"/>
          <w:highlight w:val="whit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highlight w:val="white"/>
          <w:lang w:eastAsia="en-US"/>
        </w:rPr>
        <w:t xml:space="preserve">Т</w:t>
      </w:r>
      <w:r>
        <w:rPr>
          <w:sz w:val="24"/>
          <w:szCs w:val="24"/>
          <w:highlight w:val="white"/>
          <w:lang w:eastAsia="en-US"/>
        </w:rPr>
        <w:t xml:space="preserve">овара.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shd w:val="clear" w:color="auto" w:fill="ffffff"/>
        <w:tabs>
          <w:tab w:val="left" w:pos="567" w:leader="none"/>
          <w:tab w:val="left" w:pos="1134" w:leader="none"/>
        </w:tabs>
        <w:ind w:left="0" w:firstLine="709"/>
        <w:jc w:val="both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shd w:val="clear" w:color="auto" w:fill="ffffff"/>
        <w:tabs>
          <w:tab w:val="left" w:pos="0" w:leader="none"/>
        </w:tabs>
        <w:ind w:left="0"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5"/>
        <w:shd w:val="clear" w:color="auto" w:fill="ffffff"/>
        <w:tabs>
          <w:tab w:val="left" w:pos="0" w:leader="none"/>
        </w:tabs>
        <w:ind w:left="0" w:firstLine="709"/>
        <w:jc w:val="both"/>
        <w:rPr>
          <w:b/>
          <w:bCs/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</w:t>
      </w:r>
      <w:r>
        <w:rPr>
          <w:sz w:val="24"/>
          <w:szCs w:val="24"/>
          <w:lang w:eastAsia="en-US"/>
        </w:rPr>
        <w:t xml:space="preserve">мый по унифицированной форме </w:t>
      </w:r>
      <w:r>
        <w:rPr>
          <w:sz w:val="24"/>
          <w:szCs w:val="24"/>
          <w:lang w:eastAsia="en-US"/>
        </w:rPr>
        <w:br/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/>
          <w:bCs/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highlight w:val="none"/>
          <w:lang w:eastAsia="en-US"/>
        </w:rPr>
      </w:r>
    </w:p>
    <w:p>
      <w:pPr>
        <w:pStyle w:val="1025"/>
        <w:shd w:val="clear" w:color="auto" w:fill="ffffff"/>
        <w:tabs>
          <w:tab w:val="left" w:pos="0" w:leader="none"/>
        </w:tabs>
        <w:ind w:left="0"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03"/>
        <w:keepNext w:val="0"/>
        <w:tabs>
          <w:tab w:val="left" w:pos="0" w:leader="none"/>
        </w:tabs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tabs>
          <w:tab w:val="left" w:pos="0" w:leader="none"/>
        </w:tabs>
        <w:ind w:firstLine="709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tabs>
          <w:tab w:val="left" w:pos="0" w:leader="none"/>
        </w:tabs>
        <w:ind w:firstLine="709"/>
        <w:jc w:val="both"/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pStyle w:val="1025"/>
        <w:shd w:val="clear" w:color="auto" w:fill="ffffff"/>
        <w:tabs>
          <w:tab w:val="left" w:pos="0" w:leader="none"/>
        </w:tabs>
        <w:ind w:left="0" w:firstLine="709"/>
        <w:jc w:val="both"/>
        <w:rPr>
          <w:sz w:val="24"/>
          <w:szCs w:val="24"/>
          <w:lang w:eastAsia="en-US"/>
          <w14:ligatures w14:val="none"/>
        </w:rPr>
      </w:pPr>
      <w:r>
        <w:rPr>
          <w:b/>
          <w:bCs/>
          <w:sz w:val="24"/>
          <w:szCs w:val="24"/>
          <w:lang w:eastAsia="en-US"/>
        </w:rPr>
        <w:t xml:space="preserve">«</w:t>
      </w:r>
      <w:r>
        <w:rPr>
          <w:b/>
          <w:bCs/>
          <w:sz w:val="24"/>
          <w:szCs w:val="24"/>
          <w:lang w:eastAsia="en-US"/>
        </w:rPr>
        <w:t xml:space="preserve">УПД</w:t>
      </w:r>
      <w:r>
        <w:rPr>
          <w:b/>
          <w:bCs/>
          <w:sz w:val="24"/>
          <w:szCs w:val="24"/>
          <w:lang w:eastAsia="en-US"/>
        </w:rPr>
        <w:t xml:space="preserve">»</w:t>
      </w:r>
      <w:r>
        <w:rPr>
          <w:b/>
          <w:bCs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- у</w:t>
      </w:r>
      <w:r>
        <w:rPr>
          <w:sz w:val="24"/>
          <w:szCs w:val="24"/>
          <w:lang w:eastAsia="en-US"/>
        </w:rPr>
        <w:t xml:space="preserve">ниверсальный передаточный документ.</w:t>
      </w:r>
      <w:r>
        <w:rPr>
          <w:sz w:val="24"/>
          <w:szCs w:val="24"/>
          <w:lang w:eastAsia="en-US"/>
          <w14:ligatures w14:val="none"/>
        </w:rPr>
      </w:r>
      <w:r>
        <w:rPr>
          <w:sz w:val="24"/>
          <w:szCs w:val="24"/>
          <w:lang w:eastAsia="en-US"/>
          <w14:ligatures w14:val="none"/>
        </w:rPr>
      </w:r>
    </w:p>
    <w:p>
      <w:pPr>
        <w:tabs>
          <w:tab w:val="left" w:pos="0" w:leader="none"/>
        </w:tabs>
        <w:ind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shd w:val="clear" w:color="auto" w:fill="ffffff"/>
        <w:ind w:firstLine="709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numId w:val="1"/>
          <w:ilvl w:val="0"/>
        </w:numPr>
        <w:shd w:val="clear" w:color="auto" w:fill="ffffff"/>
        <w:tabs>
          <w:tab w:val="num" w:pos="284" w:leader="none"/>
          <w:tab w:val="clear" w:pos="360" w:leader="none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 </w:t>
      </w:r>
      <w:r>
        <w:rPr>
          <w:rFonts w:eastAsia="Calibri"/>
          <w:bCs/>
          <w:sz w:val="24"/>
          <w:szCs w:val="24"/>
          <w:lang w:eastAsia="en-US"/>
        </w:rPr>
        <w:t xml:space="preserve">продукцию производственно-технического назначения – оборудование, комплектующие и расходные материалы средств диспетчерского и технологического управления </w:t>
      </w:r>
      <w:r>
        <w:rPr>
          <w:bCs/>
          <w:sz w:val="24"/>
          <w:szCs w:val="24"/>
        </w:rPr>
        <w:t xml:space="preserve">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поставки, реквизиты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clear" w:pos="858" w:leader="none"/>
          <w:tab w:val="num" w:pos="1134" w:leader="none"/>
        </w:tabs>
        <w:ind w:left="0" w:firstLine="709"/>
        <w:jc w:val="both"/>
      </w:pPr>
      <w:r>
        <w:rPr>
          <w:sz w:val="24"/>
          <w:szCs w:val="24"/>
        </w:rPr>
        <w:t xml:space="preserve">Общий срок поставки Товара составляет 100 календарных дней с даты заключения договора. Срок поставки Товара (партии Товара) по заявке составляет 60 календарных дней с даты получения заявки Поставщиком. </w:t>
      </w:r>
      <w:r>
        <w:rPr>
          <w:sz w:val="24"/>
          <w:szCs w:val="24"/>
        </w:rPr>
      </w:r>
    </w:p>
    <w:p>
      <w:pPr>
        <w:shd w:val="clear" w:color="auto" w:fill="ffffff"/>
        <w:tabs>
          <w:tab w:val="left" w:pos="540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0"/>
        </w:numPr>
        <w:shd w:val="clear" w:color="auto" w:fill="ffffff"/>
        <w:tabs>
          <w:tab w:val="num" w:pos="284" w:leader="none"/>
          <w:tab w:val="clear" w:pos="360" w:leader="none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Цена Договора и порядок </w:t>
      </w:r>
      <w:r>
        <w:rPr>
          <w:b/>
          <w:bCs/>
          <w:sz w:val="24"/>
          <w:szCs w:val="24"/>
        </w:rPr>
        <w:t xml:space="preserve">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</w:rPr>
        <w:t xml:space="preserve">Цена Договора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является предельной и составляет </w:t>
      </w:r>
      <w:r>
        <w:rPr>
          <w:sz w:val="24"/>
          <w:szCs w:val="24"/>
        </w:rPr>
        <w:t xml:space="preserve">_______</w:t>
      </w:r>
      <w:r>
        <w:rPr>
          <w:bCs/>
          <w:sz w:val="24"/>
          <w:szCs w:val="24"/>
        </w:rPr>
        <w:t xml:space="preserve"> (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_____</w:t>
      </w:r>
      <w:r>
        <w:rPr>
          <w:bCs/>
          <w:sz w:val="24"/>
          <w:szCs w:val="24"/>
        </w:rPr>
        <w:t xml:space="preserve">) рублей </w:t>
      </w:r>
      <w:r>
        <w:rPr>
          <w:sz w:val="24"/>
          <w:szCs w:val="24"/>
        </w:rPr>
        <w:t xml:space="preserve">___</w:t>
      </w:r>
      <w:r>
        <w:rPr>
          <w:bCs/>
          <w:sz w:val="24"/>
          <w:szCs w:val="24"/>
        </w:rPr>
        <w:t xml:space="preserve"> копеек</w:t>
      </w:r>
      <w:r>
        <w:rPr>
          <w:bCs/>
          <w:sz w:val="24"/>
          <w:szCs w:val="24"/>
        </w:rPr>
        <w:t xml:space="preserve">, в том числе </w:t>
      </w:r>
      <w:r>
        <w:rPr>
          <w:bCs/>
          <w:sz w:val="24"/>
          <w:szCs w:val="24"/>
        </w:rPr>
        <w:t xml:space="preserve">НДС</w:t>
      </w:r>
      <w:r>
        <w:rPr>
          <w:bCs/>
          <w:sz w:val="24"/>
          <w:szCs w:val="24"/>
        </w:rPr>
        <w:t xml:space="preserve"> (2</w:t>
      </w:r>
      <w:del w:id="0" w:author="kilina_ns@DGK.RU" w:date="2026-04-09T02:25:01Z" oouserid="kilina_ns@DGK.RU">
        <w:r>
          <w:rPr>
            <w:bCs/>
            <w:sz w:val="24"/>
            <w:szCs w:val="24"/>
          </w:rPr>
          <w:delText xml:space="preserve">0</w:delText>
        </w:r>
      </w:del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%) составляет _______ (_________) рублей ___ копеек.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highlight w:val="lightGray"/>
        </w:rPr>
        <w:t xml:space="preserve">[</w:t>
      </w:r>
      <w:r>
        <w:rPr>
          <w:bCs/>
          <w:sz w:val="24"/>
          <w:szCs w:val="24"/>
          <w:highlight w:val="lightGray"/>
        </w:rPr>
        <w:t xml:space="preserve">е</w:t>
      </w:r>
      <w:r>
        <w:rPr>
          <w:bCs/>
          <w:i/>
          <w:sz w:val="24"/>
          <w:szCs w:val="24"/>
          <w:highlight w:val="lightGray"/>
        </w:rPr>
        <w:t xml:space="preserve">сли НДС не облагается, указать причину]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numId w:val="1"/>
          <w:ilvl w:val="1"/>
        </w:numPr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соответствии </w:t>
      </w:r>
      <w:r>
        <w:rPr>
          <w:sz w:val="24"/>
          <w:highlight w:val="white"/>
        </w:rPr>
        <w:t xml:space="preserve">с условиями проведенной </w:t>
      </w:r>
      <w:r>
        <w:rPr>
          <w:color w:val="auto"/>
          <w:sz w:val="24"/>
          <w:highlight w:val="white"/>
        </w:rPr>
        <w:t xml:space="preserve">конкурентной</w:t>
      </w:r>
      <w:r>
        <w:rPr>
          <w:color w:val="auto"/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закупочной</w:t>
      </w:r>
      <w:r>
        <w:rPr>
          <w:sz w:val="24"/>
          <w:highlight w:val="white"/>
        </w:rPr>
        <w:t xml:space="preserve"> процедуры</w:t>
      </w:r>
      <w:r>
        <w:rPr>
          <w:sz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  <w:highlight w:val="white"/>
        </w:rPr>
        <w:t xml:space="preserve">Обща</w:t>
      </w:r>
      <w:r>
        <w:rPr>
          <w:sz w:val="24"/>
          <w:szCs w:val="24"/>
        </w:rPr>
        <w:t xml:space="preserve">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Изменение </w:t>
      </w:r>
      <w:r>
        <w:rPr>
          <w:sz w:val="24"/>
          <w:szCs w:val="24"/>
        </w:rPr>
        <w:t xml:space="preserve">цены </w:t>
      </w:r>
      <w:r>
        <w:rPr>
          <w:sz w:val="24"/>
          <w:szCs w:val="24"/>
        </w:rPr>
        <w:t xml:space="preserve">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Оплата </w:t>
      </w:r>
      <w:r>
        <w:rPr>
          <w:sz w:val="24"/>
          <w:szCs w:val="24"/>
        </w:rPr>
        <w:t xml:space="preserve">Товара (партии Товара)</w:t>
      </w:r>
      <w:r>
        <w:rPr>
          <w:sz w:val="24"/>
          <w:szCs w:val="24"/>
        </w:rPr>
        <w:t xml:space="preserve"> осуществляется Покупателем </w:t>
      </w:r>
      <w:r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 xml:space="preserve">7 (семи) рабочих дней </w:t>
      </w:r>
      <w:r>
        <w:rPr>
          <w:sz w:val="24"/>
          <w:szCs w:val="24"/>
        </w:rPr>
        <w:t xml:space="preserve">с даты подписания </w:t>
      </w:r>
      <w:r>
        <w:rPr>
          <w:sz w:val="24"/>
          <w:szCs w:val="24"/>
        </w:rPr>
        <w:t xml:space="preserve">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 / или УПД на основании счета / или УПД, выставленного Поставщиком, </w:t>
      </w:r>
      <w:r>
        <w:rPr>
          <w:sz w:val="24"/>
          <w:szCs w:val="24"/>
        </w:rPr>
        <w:t xml:space="preserve">и с учетом пункта 2.6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на сумму м</w:t>
      </w:r>
      <w:r>
        <w:rPr>
          <w:sz w:val="24"/>
          <w:szCs w:val="24"/>
        </w:rP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не принимается и подлежит замене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независим</w:t>
      </w:r>
      <w:r>
        <w:rPr>
          <w:sz w:val="24"/>
          <w:szCs w:val="24"/>
        </w:rPr>
        <w:t xml:space="preserve">о от его фактического вручения Покупателю</w:t>
      </w:r>
      <w:r>
        <w:rPr>
          <w:sz w:val="24"/>
          <w:szCs w:val="24"/>
        </w:rPr>
        <w:t xml:space="preserve">. 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позднее чем </w:t>
      </w:r>
      <w:r>
        <w:rPr>
          <w:sz w:val="24"/>
          <w:szCs w:val="24"/>
        </w:rPr>
        <w:t xml:space="preserve">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num" w:pos="0" w:leader="none"/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Обязательство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Индексация Цены Договора не </w:t>
      </w:r>
      <w:r>
        <w:rPr>
          <w:sz w:val="24"/>
          <w:szCs w:val="24"/>
        </w:rPr>
        <w:t xml:space="preserve">допускается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lightGray"/>
        </w:rPr>
        <w:t xml:space="preserve">-</w:t>
      </w:r>
      <w:r>
        <w:rPr>
          <w:sz w:val="24"/>
          <w:szCs w:val="24"/>
          <w:highlight w:val="lightGray"/>
        </w:rPr>
        <w:t xml:space="preserve">фактуры</w:t>
      </w:r>
      <w:r>
        <w:rPr>
          <w:sz w:val="24"/>
          <w:szCs w:val="24"/>
          <w:highlight w:val="lightGray"/>
        </w:rPr>
        <w:t xml:space="preserve"> (или универсальные передаточные документы – далее УПД)</w:t>
      </w:r>
      <w:r>
        <w:rPr>
          <w:sz w:val="24"/>
          <w:szCs w:val="24"/>
          <w:highlight w:val="lightGray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lightGray"/>
        </w:rPr>
        <w:t xml:space="preserve">В</w:t>
      </w:r>
      <w:r>
        <w:rPr>
          <w:sz w:val="24"/>
          <w:szCs w:val="24"/>
          <w:highlight w:val="lightGray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lightGray"/>
        </w:rPr>
        <w:t xml:space="preserve">-</w:t>
      </w:r>
      <w:r>
        <w:rPr>
          <w:sz w:val="24"/>
          <w:szCs w:val="24"/>
          <w:highlight w:val="lightGray"/>
        </w:rPr>
        <w:t xml:space="preserve">фактуры</w:t>
      </w:r>
      <w:r>
        <w:rPr>
          <w:sz w:val="24"/>
          <w:szCs w:val="24"/>
          <w:highlight w:val="lightGray"/>
        </w:rPr>
        <w:t xml:space="preserve">/ или УПД</w:t>
      </w:r>
      <w:r>
        <w:rPr>
          <w:sz w:val="24"/>
          <w:szCs w:val="24"/>
          <w:highlight w:val="lightGray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rStyle w:val="1036"/>
          <w:sz w:val="24"/>
          <w:szCs w:val="24"/>
          <w:highlight w:val="lightGray"/>
        </w:rPr>
        <w:footnoteReference w:id="2"/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numId w:val="1"/>
          <w:ilvl w:val="1"/>
        </w:numPr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Поставщик обязан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одписать акты сверки взаимных расчетов, направленные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2 (двух) экземплярах, и вернуть 1 (один) экземпляр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 течение 5 (пяти) рабочих дней с даты получения экземпляров актов сверки расчетов от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numId w:val="1"/>
          <w:ilvl w:val="1"/>
        </w:numPr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ind w:left="0" w:firstLine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</w:rPr>
        <w:t xml:space="preserve">Покупатель</w:t>
      </w:r>
      <w:r>
        <w:rPr>
          <w:sz w:val="24"/>
        </w:rPr>
        <w:t xml:space="preserve"> вправе произвест</w:t>
      </w:r>
      <w:r>
        <w:rPr>
          <w:sz w:val="24"/>
        </w:rPr>
        <w:t xml:space="preserve">и сальдо взаимных обязательств С</w:t>
      </w:r>
      <w:r>
        <w:rPr>
          <w:sz w:val="24"/>
        </w:rPr>
        <w:t xml:space="preserve">торон путем уменьшения сумм причитающихся </w:t>
      </w:r>
      <w:r>
        <w:rPr>
          <w:sz w:val="24"/>
        </w:rPr>
        <w:t xml:space="preserve">Поставщику</w:t>
      </w:r>
      <w:r>
        <w:rPr>
          <w:sz w:val="24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</w:rPr>
        <w:t xml:space="preserve"> хозяйственных взаимоотношений С</w:t>
      </w:r>
      <w:r>
        <w:rPr>
          <w:sz w:val="24"/>
        </w:rPr>
        <w:t xml:space="preserve">торон, направленных на исполнение Договора, на 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shd w:val="clear" w:color="auto" w:fill="ffffff"/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ind w:left="709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numId w:val="1"/>
          <w:ilvl w:val="0"/>
        </w:numPr>
        <w:shd w:val="clear" w:color="auto" w:fill="ffffff"/>
        <w:tabs>
          <w:tab w:val="num" w:pos="284" w:leader="none"/>
          <w:tab w:val="clear" w:pos="360" w:leader="none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clear" w:pos="858" w:leader="none"/>
          <w:tab w:val="num" w:pos="1134" w:leader="none"/>
          <w:tab w:val="num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2"/>
        </w:numPr>
        <w:shd w:val="clear" w:color="auto" w:fill="ffffff"/>
        <w:tabs>
          <w:tab w:val="num" w:pos="1134" w:leader="none"/>
          <w:tab w:val="num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 срок не позднее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60</w:t>
      </w:r>
      <w:r>
        <w:rPr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Шестьдесят</w:t>
      </w:r>
      <w:r>
        <w:rPr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2"/>
        </w:numPr>
        <w:tabs>
          <w:tab w:val="left" w:pos="993" w:leader="none"/>
          <w:tab w:val="num" w:pos="1134" w:leader="none"/>
          <w:tab w:val="num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ответным письмом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2"/>
        </w:numPr>
        <w:tabs>
          <w:tab w:val="left" w:pos="993" w:leader="none"/>
          <w:tab w:val="num" w:pos="1134" w:leader="none"/>
          <w:tab w:val="num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Покупатель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срок </w:t>
      </w:r>
      <w:r>
        <w:rPr>
          <w:sz w:val="24"/>
          <w:szCs w:val="24"/>
          <w:highlight w:val="white"/>
        </w:rPr>
        <w:t xml:space="preserve">не позднее 57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(Пятьдесят семь</w:t>
      </w:r>
      <w:r>
        <w:rPr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до</w:t>
      </w:r>
      <w:r>
        <w:rPr>
          <w:sz w:val="24"/>
          <w:szCs w:val="24"/>
        </w:rPr>
        <w:t xml:space="preserve"> предполагаемой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поставки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numId w:val="1"/>
          <w:ilvl w:val="2"/>
        </w:numPr>
        <w:tabs>
          <w:tab w:val="left" w:pos="993" w:leader="none"/>
          <w:tab w:val="num" w:pos="1134" w:leader="none"/>
          <w:tab w:val="num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numId w:val="1"/>
          <w:ilvl w:val="2"/>
        </w:numPr>
        <w:tabs>
          <w:tab w:val="left" w:pos="993" w:leader="none"/>
          <w:tab w:val="num" w:pos="1134" w:leader="none"/>
          <w:tab w:val="num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993" w:leader="none"/>
          <w:tab w:val="num" w:pos="1134" w:leader="none"/>
          <w:tab w:val="num" w:pos="1418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num" w:pos="1134" w:leader="none"/>
          <w:tab w:val="num" w:pos="1418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2"/>
        </w:numPr>
        <w:tabs>
          <w:tab w:val="left" w:pos="993" w:leader="none"/>
          <w:tab w:val="num" w:pos="1134" w:leader="none"/>
          <w:tab w:val="num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numId w:val="1"/>
          <w:ilvl w:val="1"/>
        </w:numPr>
        <w:shd w:val="clear" w:color="auto" w:fill="ffffff"/>
        <w:tabs>
          <w:tab w:val="clear" w:pos="858" w:leader="none"/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clear" w:pos="858" w:leader="none"/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третьих лиц.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передачей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 </w:t>
      </w:r>
      <w:r>
        <w:rPr>
          <w:bCs/>
          <w:sz w:val="24"/>
          <w:szCs w:val="24"/>
        </w:rPr>
        <w:t xml:space="preserve">обязан передать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оригиналы следующих относящихся к </w:t>
      </w:r>
      <w:r>
        <w:rPr>
          <w:bCs/>
          <w:sz w:val="24"/>
          <w:szCs w:val="24"/>
        </w:rPr>
        <w:t xml:space="preserve">Товару</w:t>
      </w:r>
      <w:r>
        <w:rPr>
          <w:bCs/>
          <w:sz w:val="24"/>
          <w:szCs w:val="24"/>
        </w:rPr>
        <w:t xml:space="preserve"> документов: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numId w:val="35"/>
          <w:ilvl w:val="0"/>
        </w:numPr>
        <w:tabs>
          <w:tab w:val="left" w:pos="1134" w:leader="none"/>
          <w:tab w:val="clear" w:pos="1778" w:leader="none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__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numId w:val="35"/>
          <w:ilvl w:val="0"/>
        </w:numPr>
        <w:tabs>
          <w:tab w:val="left" w:pos="1134" w:leader="none"/>
          <w:tab w:val="clear" w:pos="1778" w:leader="none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технический паспорт на русском языке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numId w:val="35"/>
          <w:ilvl w:val="0"/>
        </w:numPr>
        <w:tabs>
          <w:tab w:val="left" w:pos="1134" w:leader="none"/>
          <w:tab w:val="clear" w:pos="1778" w:leader="none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инструкция по эксплуатации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 русском языке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numId w:val="35"/>
          <w:ilvl w:val="0"/>
        </w:numPr>
        <w:tabs>
          <w:tab w:val="left" w:pos="1134" w:leader="none"/>
          <w:tab w:val="clear" w:pos="1778" w:leader="none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numId w:val="35"/>
          <w:ilvl w:val="0"/>
        </w:numPr>
        <w:tabs>
          <w:tab w:val="left" w:pos="1134" w:leader="none"/>
          <w:tab w:val="clear" w:pos="1353" w:leader="none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numId w:val="35"/>
          <w:ilvl w:val="0"/>
        </w:numPr>
        <w:shd w:val="clear" w:color="auto" w:fill="ffffff"/>
        <w:tabs>
          <w:tab w:val="left" w:pos="1134" w:leader="none"/>
          <w:tab w:val="clear" w:pos="1353" w:leader="none"/>
        </w:tabs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накладная ТОРГ</w:t>
      </w:r>
      <w:r>
        <w:rPr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12 </w:t>
      </w:r>
      <w:r>
        <w:rPr>
          <w:sz w:val="24"/>
          <w:szCs w:val="24"/>
        </w:rPr>
        <w:t xml:space="preserve">/ или УПД </w:t>
      </w:r>
      <w:r>
        <w:rPr>
          <w:sz w:val="24"/>
          <w:szCs w:val="24"/>
          <w:highlight w:val="white"/>
        </w:rPr>
        <w:t xml:space="preserve">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cs="Times New Roman"/>
          <w:sz w:val="24"/>
          <w:szCs w:val="24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bookmarkStart w:id="0" w:name="_Ref361408474"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shd w:val="clear" w:color="auto" w:fill="ffffff"/>
        <w:tabs>
          <w:tab w:val="left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shd w:val="clear" w:color="auto" w:fill="ffffff"/>
        <w:tabs>
          <w:tab w:val="left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  <w:tab w:val="left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  <w:tab w:val="left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  <w:tab w:val="left" w:pos="1418" w:leader="none"/>
        </w:tabs>
        <w:ind w:left="0" w:firstLine="709"/>
        <w:jc w:val="both"/>
        <w:rPr>
          <w:sz w:val="24"/>
          <w:szCs w:val="24"/>
        </w:rPr>
      </w:pPr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highlight w:val="none"/>
        </w:rPr>
        <w:t xml:space="preserve">или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numId w:val="1"/>
          <w:ilvl w:val="1"/>
        </w:numPr>
        <w:tabs>
          <w:tab w:val="left" w:pos="1134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Накладной ТОРГ-12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  <w:tab w:val="left" w:pos="1276" w:leader="none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  <w:tab w:val="left" w:pos="1276" w:leader="none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widowControl/>
        <w:shd w:val="clear" w:color="auto" w:fill="ffffff"/>
        <w:tabs>
          <w:tab w:val="left" w:pos="1134" w:leader="none"/>
          <w:tab w:val="left" w:pos="1276" w:leader="none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numId w:val="1"/>
          <w:ilvl w:val="0"/>
        </w:num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25"/>
        <w:numPr>
          <w:numId w:val="1"/>
          <w:ilvl w:val="1"/>
        </w:numPr>
        <w:tabs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clear" w:pos="858" w:leader="none"/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clear" w:pos="858" w:leader="none"/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numId w:val="1"/>
          <w:ilvl w:val="1"/>
        </w:numPr>
        <w:tabs>
          <w:tab w:val="num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clear" w:color="auto" w:fill="ffffff"/>
        <w:tabs>
          <w:tab w:val="num" w:pos="1134" w:leader="none"/>
          <w:tab w:val="num" w:pos="185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numId w:val="1"/>
          <w:ilvl w:val="1"/>
        </w:numPr>
        <w:shd w:val="clear" w:color="auto" w:fill="ffffff"/>
        <w:tabs>
          <w:tab w:val="num" w:pos="1134" w:leader="none"/>
          <w:tab w:val="num" w:pos="1851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обязателен.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num" w:pos="1134" w:leader="none"/>
        </w:tabs>
        <w:ind w:left="0" w:firstLine="709"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</w:t>
      </w:r>
      <w:r>
        <w:rPr>
          <w:bCs/>
          <w:sz w:val="24"/>
          <w:szCs w:val="24"/>
          <w:highlight w:val="white"/>
        </w:rPr>
        <w:t xml:space="preserve">щик лишается права ссылаться на отсутствие платежа при прос</w:t>
      </w:r>
      <w:r>
        <w:rPr>
          <w:bCs/>
          <w:sz w:val="24"/>
          <w:szCs w:val="24"/>
          <w:highlight w:val="white"/>
        </w:rPr>
        <w:t xml:space="preserve">рочке поставки Товара по Заявке.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widowControl/>
        <w:shd w:val="clear" w:color="auto" w:fill="ffffff"/>
        <w:tabs>
          <w:tab w:val="left" w:pos="1134" w:leader="none"/>
          <w:tab w:val="left" w:pos="1418" w:leader="none"/>
        </w:tabs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25"/>
        <w:numPr>
          <w:numId w:val="1"/>
          <w:ilvl w:val="1"/>
        </w:numPr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Г</w:t>
      </w:r>
      <w:r>
        <w:rPr>
          <w:sz w:val="24"/>
          <w:szCs w:val="24"/>
          <w:highlight w:val="white"/>
        </w:rPr>
        <w:t xml:space="preserve">арантийный срок</w:t>
      </w:r>
      <w:r>
        <w:rPr>
          <w:sz w:val="24"/>
          <w:szCs w:val="24"/>
          <w:highlight w:val="white"/>
        </w:rPr>
        <w:t xml:space="preserve"> на Товар</w:t>
      </w:r>
      <w:r>
        <w:rPr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поставленный по Договору, составляет 12 </w:t>
      </w:r>
      <w:r>
        <w:rPr>
          <w:sz w:val="24"/>
          <w:szCs w:val="24"/>
          <w:highlight w:val="white"/>
        </w:rPr>
        <w:t xml:space="preserve">(Двенадцать) </w:t>
      </w:r>
      <w:r>
        <w:rPr>
          <w:sz w:val="24"/>
          <w:szCs w:val="24"/>
          <w:highlight w:val="white"/>
        </w:rPr>
        <w:t xml:space="preserve">месяцев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начинает течь </w:t>
      </w:r>
      <w:r>
        <w:rPr>
          <w:sz w:val="24"/>
          <w:szCs w:val="24"/>
          <w:highlight w:val="white"/>
        </w:rPr>
        <w:t xml:space="preserve">с даты подпис</w:t>
      </w:r>
      <w:r>
        <w:rPr>
          <w:sz w:val="24"/>
          <w:szCs w:val="24"/>
        </w:rPr>
        <w:t xml:space="preserve">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ТОРГ-12 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Гарантийный срок может быть продлен в соответствии с условиями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tabs>
          <w:tab w:val="left" w:pos="1134" w:leader="none"/>
          <w:tab w:val="num" w:pos="1851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numPr>
          <w:numId w:val="1"/>
          <w:ilvl w:val="1"/>
        </w:numPr>
        <w:shd w:val="clear" w:color="auto" w:fill="ffffff"/>
        <w:tabs>
          <w:tab w:val="left" w:pos="1134" w:leader="none"/>
          <w:tab w:val="num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shd w:val="clear" w:color="auto" w:fill="ffffff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  <w:tab w:val="num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1"/>
        </w:numPr>
        <w:shd w:val="clear" w:color="auto" w:fill="ffffff"/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clear" w:color="auto" w:fill="ffffff"/>
        <w:tabs>
          <w:tab w:val="left" w:pos="1190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numId w:val="1"/>
          <w:ilvl w:val="1"/>
        </w:numPr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numId w:val="1"/>
          <w:ilvl w:val="1"/>
        </w:numPr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1025"/>
        <w:numPr>
          <w:numId w:val="1"/>
          <w:ilvl w:val="1"/>
        </w:numPr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 xml:space="preserve">В случае нарушения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обязательств по поставке партии товара (нарушение срока поставки, недопоставка),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потребовать уплаты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</w:p>
    <w:p>
      <w:pPr>
        <w:tabs>
          <w:tab w:val="left" w:pos="992" w:leader="none"/>
          <w:tab w:val="left" w:pos="1134" w:leader="none"/>
        </w:tabs>
        <w:ind w:left="0" w:right="0" w:firstLine="709"/>
        <w:jc w:val="both"/>
        <w:rPr>
          <w14:ligatures w14:val="none"/>
        </w:rPr>
      </w:pPr>
      <w:r>
        <w:rPr>
          <w:sz w:val="24"/>
          <w:szCs w:val="24"/>
        </w:rPr>
        <w:t xml:space="preserve">– неустойки в размере 0,1 (ноль целых и одна десятая) процента от цены несвоевременно поставленной (не поставленной) партии товара за каждый день просрочки – в случае, когда нарушение не привело к изменению срока поставки других партий товара;</w:t>
      </w:r>
      <w:r>
        <w:rPr>
          <w14:ligatures w14:val="none"/>
        </w:rPr>
      </w:r>
    </w:p>
    <w:p>
      <w:pPr>
        <w:tabs>
          <w:tab w:val="left" w:pos="1134" w:leader="none"/>
          <w:tab w:val="left" w:pos="1134" w:leader="none"/>
        </w:tabs>
        <w:ind w:left="0" w:right="0" w:firstLine="709"/>
        <w:jc w:val="both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–  неустойки в размере 0,2 (ноль целых и две десятых) процента от цены несвоевременно поставленной (не поставленной) партии товара за каждый день просрочки – в случае, когда нарушение привело к изменению срока поставки других партий товара;</w:t>
      </w:r>
      <w:r>
        <w:rPr>
          <w:highlight w:val="none"/>
          <w14:ligatures w14:val="none"/>
        </w:rPr>
      </w:r>
    </w:p>
    <w:p>
      <w:pPr>
        <w:pStyle w:val="1025"/>
        <w:numPr>
          <w:numId w:val="49"/>
          <w:ilvl w:val="0"/>
        </w:numPr>
        <w:tabs>
          <w:tab w:val="left" w:pos="992" w:leader="none"/>
          <w:tab w:val="left" w:pos="1134" w:leader="none"/>
        </w:tabs>
        <w:ind w:left="0" w:right="0" w:firstLine="709"/>
        <w:jc w:val="both"/>
        <w:rPr>
          <w:highlight w:val="none"/>
          <w14:ligatures w14:val="none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случае несвоевременного устранения Поставщиком </w:t>
      </w:r>
      <w:r>
        <w:rPr>
          <w:sz w:val="24"/>
          <w:szCs w:val="24"/>
        </w:rPr>
      </w:r>
      <w:r>
        <w:rPr>
          <w:highlight w:val="none"/>
          <w14:ligatures w14:val="none"/>
        </w:rPr>
      </w:r>
      <w:r>
        <w:rPr>
          <w:sz w:val="24"/>
          <w:szCs w:val="24"/>
        </w:rPr>
        <w:t xml:space="preserve">выявленных недостатков Товара, Покупатель вправе </w:t>
      </w:r>
      <w:r>
        <w:rPr>
          <w:sz w:val="24"/>
          <w:szCs w:val="24"/>
        </w:rPr>
      </w:r>
      <w:r>
        <w:rPr>
          <w:highlight w:val="none"/>
          <w14:ligatures w14:val="none"/>
        </w:rPr>
      </w:r>
      <w:r>
        <w:rPr>
          <w:sz w:val="24"/>
          <w:szCs w:val="24"/>
        </w:rPr>
        <w:t xml:space="preserve">требовать уплаты Поставщиком неустойки в размере 0,1 </w:t>
      </w:r>
      <w:r>
        <w:rPr>
          <w:sz w:val="24"/>
          <w:szCs w:val="24"/>
        </w:rPr>
      </w:r>
      <w:r>
        <w:rPr>
          <w:highlight w:val="none"/>
          <w14:ligatures w14:val="none"/>
        </w:rPr>
      </w:r>
      <w:r>
        <w:rPr>
          <w:sz w:val="24"/>
          <w:szCs w:val="24"/>
        </w:rPr>
        <w:t xml:space="preserve">(ноль целых и одна десятая) процента от стоимости </w:t>
      </w:r>
      <w:r>
        <w:rPr>
          <w:sz w:val="24"/>
          <w:szCs w:val="24"/>
        </w:rPr>
      </w:r>
      <w:r>
        <w:rPr>
          <w:highlight w:val="none"/>
          <w14:ligatures w14:val="none"/>
        </w:rPr>
      </w:r>
      <w:r>
        <w:rPr>
          <w:sz w:val="24"/>
          <w:szCs w:val="24"/>
        </w:rPr>
        <w:t xml:space="preserve">Товара (партии Товара), указанного в Заявке, за каждый </w:t>
      </w:r>
      <w:r>
        <w:rPr>
          <w:sz w:val="24"/>
          <w:szCs w:val="24"/>
        </w:rPr>
      </w:r>
      <w:r>
        <w:rPr>
          <w:highlight w:val="none"/>
          <w14:ligatures w14:val="none"/>
        </w:rPr>
      </w:r>
      <w:r>
        <w:rPr>
          <w:sz w:val="24"/>
          <w:szCs w:val="24"/>
        </w:rPr>
        <w:t xml:space="preserve">день просрочки.</w:t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highlight w:val="none"/>
          <w14:ligatures w14:val="none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highlight w:val="none"/>
          <w14:ligatures w14:val="none"/>
        </w:rPr>
      </w:r>
    </w:p>
    <w:p>
      <w:pPr>
        <w:widowControl/>
        <w:numPr>
          <w:numId w:val="1"/>
          <w:ilvl w:val="1"/>
        </w:numPr>
        <w:tabs>
          <w:tab w:val="left" w:pos="1134" w:leader="none"/>
        </w:tabs>
        <w:ind w:left="0" w:firstLine="709"/>
        <w:jc w:val="both"/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lightGray"/>
        </w:rPr>
        <w:t xml:space="preserve">В случае поступления </w:t>
      </w:r>
      <w:r>
        <w:rPr>
          <w:bCs/>
          <w:sz w:val="24"/>
          <w:szCs w:val="24"/>
          <w:highlight w:val="lightGray"/>
        </w:rPr>
        <w:t xml:space="preserve">Товара, </w:t>
      </w:r>
      <w:r>
        <w:rPr>
          <w:bCs/>
          <w:sz w:val="24"/>
          <w:szCs w:val="24"/>
          <w:highlight w:val="lightGray"/>
        </w:rPr>
        <w:t xml:space="preserve">не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bCs/>
          <w:sz w:val="24"/>
          <w:szCs w:val="24"/>
          <w:highlight w:val="lightGray"/>
        </w:rPr>
        <w:t xml:space="preserve">соответствующе</w:t>
      </w:r>
      <w:r>
        <w:rPr>
          <w:bCs/>
          <w:sz w:val="24"/>
          <w:szCs w:val="24"/>
          <w:highlight w:val="lightGray"/>
        </w:rPr>
        <w:t xml:space="preserve">го</w:t>
      </w:r>
      <w:r>
        <w:rPr>
          <w:bCs/>
          <w:sz w:val="24"/>
          <w:szCs w:val="24"/>
          <w:highlight w:val="lightGray"/>
        </w:rPr>
        <w:t xml:space="preserve"> сведениям о стране происхождения </w:t>
      </w:r>
      <w:r>
        <w:rPr>
          <w:bCs/>
          <w:sz w:val="24"/>
          <w:szCs w:val="24"/>
          <w:highlight w:val="lightGray"/>
        </w:rPr>
        <w:t xml:space="preserve">Товара,</w:t>
      </w:r>
      <w:r>
        <w:rPr>
          <w:bCs/>
          <w:sz w:val="24"/>
          <w:szCs w:val="24"/>
          <w:highlight w:val="lightGray"/>
        </w:rPr>
        <w:t xml:space="preserve"> согласованной в </w:t>
      </w:r>
      <w:r>
        <w:rPr>
          <w:bCs/>
          <w:sz w:val="24"/>
          <w:szCs w:val="24"/>
          <w:highlight w:val="lightGray"/>
        </w:rPr>
        <w:t xml:space="preserve">Д</w:t>
      </w:r>
      <w:r>
        <w:rPr>
          <w:bCs/>
          <w:sz w:val="24"/>
          <w:szCs w:val="24"/>
          <w:highlight w:val="lightGray"/>
        </w:rPr>
        <w:t xml:space="preserve">оговоре, Покупатель вправе взыскать с Поставщика штраф в разме</w:t>
      </w:r>
      <w:r>
        <w:rPr>
          <w:bCs/>
          <w:sz w:val="24"/>
          <w:szCs w:val="24"/>
          <w:highlight w:val="lightGray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lightGray"/>
        </w:rPr>
        <w:t xml:space="preserve">,</w:t>
      </w:r>
      <w:r>
        <w:rPr>
          <w:bCs/>
          <w:sz w:val="24"/>
          <w:szCs w:val="24"/>
          <w:highlight w:val="lightGray"/>
        </w:rPr>
        <w:t xml:space="preserve"> не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bCs/>
          <w:sz w:val="24"/>
          <w:szCs w:val="24"/>
          <w:highlight w:val="lightGray"/>
        </w:rPr>
        <w:t xml:space="preserve">соответствующе</w:t>
      </w:r>
      <w:r>
        <w:rPr>
          <w:bCs/>
          <w:sz w:val="24"/>
          <w:szCs w:val="24"/>
          <w:highlight w:val="lightGray"/>
        </w:rPr>
        <w:t xml:space="preserve">го</w:t>
      </w:r>
      <w:r>
        <w:rPr>
          <w:bCs/>
          <w:sz w:val="24"/>
          <w:szCs w:val="24"/>
          <w:highlight w:val="lightGray"/>
        </w:rPr>
        <w:t xml:space="preserve"> сведениям.</w:t>
      </w:r>
      <w:r>
        <w:rPr>
          <w:bCs/>
          <w:sz w:val="24"/>
          <w:szCs w:val="24"/>
          <w:highlight w:val="lightGray"/>
        </w:rPr>
      </w:r>
      <w:r>
        <w:rPr>
          <w:bCs/>
          <w:sz w:val="24"/>
          <w:szCs w:val="24"/>
          <w:highlight w:val="lightGray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</w:tabs>
        <w:ind w:left="0" w:firstLine="709"/>
        <w:jc w:val="both"/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lightGray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lightGray"/>
        </w:rPr>
        <w:t xml:space="preserve">/ или УПД</w:t>
      </w:r>
      <w:r>
        <w:rPr>
          <w:bCs/>
          <w:sz w:val="24"/>
          <w:szCs w:val="24"/>
          <w:highlight w:val="lightGray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lightGray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lightGray"/>
        </w:rPr>
        <w:br/>
      </w:r>
      <w:r>
        <w:rPr>
          <w:bCs/>
          <w:sz w:val="24"/>
          <w:szCs w:val="24"/>
          <w:highlight w:val="lightGray"/>
        </w:rPr>
        <w:t xml:space="preserve">для ко</w:t>
      </w:r>
      <w:r>
        <w:rPr>
          <w:bCs/>
          <w:sz w:val="24"/>
          <w:szCs w:val="24"/>
          <w:highlight w:val="lightGray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lightGray"/>
        </w:rPr>
      </w:r>
      <w:r>
        <w:rPr>
          <w:bCs/>
          <w:sz w:val="24"/>
          <w:szCs w:val="24"/>
          <w:highlight w:val="lightGray"/>
        </w:rPr>
      </w:r>
    </w:p>
    <w:p>
      <w:pPr>
        <w:pStyle w:val="1025"/>
        <w:widowControl/>
        <w:shd w:val="clear" w:color="auto" w:fill="ffffff"/>
        <w:tabs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highlight w:val="lightGray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lightGray"/>
        </w:rPr>
        <w:t xml:space="preserve">/ или УПД</w:t>
      </w:r>
      <w:r>
        <w:rPr>
          <w:bCs/>
          <w:sz w:val="24"/>
          <w:szCs w:val="24"/>
          <w:highlight w:val="lightGray"/>
        </w:rPr>
        <w:t xml:space="preserve">, установленных п</w:t>
      </w:r>
      <w:r>
        <w:rPr>
          <w:bCs/>
          <w:sz w:val="24"/>
          <w:szCs w:val="24"/>
          <w:highlight w:val="lightGray"/>
        </w:rPr>
        <w:t xml:space="preserve">унктом </w:t>
      </w:r>
      <w:r>
        <w:rPr>
          <w:bCs/>
          <w:sz w:val="24"/>
          <w:szCs w:val="24"/>
          <w:highlight w:val="lightGray"/>
        </w:rPr>
        <w:t xml:space="preserve">2</w:t>
      </w:r>
      <w:r>
        <w:rPr>
          <w:bCs/>
          <w:sz w:val="24"/>
          <w:szCs w:val="24"/>
          <w:highlight w:val="lightGray"/>
        </w:rPr>
        <w:t xml:space="preserve">.</w:t>
      </w:r>
      <w:r>
        <w:rPr>
          <w:bCs/>
          <w:sz w:val="24"/>
          <w:szCs w:val="24"/>
          <w:highlight w:val="lightGray"/>
        </w:rPr>
        <w:t xml:space="preserve">9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bCs/>
          <w:sz w:val="24"/>
          <w:szCs w:val="24"/>
          <w:highlight w:val="lightGray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036"/>
          <w:bCs/>
          <w:sz w:val="24"/>
          <w:szCs w:val="24"/>
          <w:highlight w:val="lightGray"/>
        </w:rPr>
        <w:footnoteReference w:id="3"/>
      </w:r>
      <w:r>
        <w:rPr>
          <w:bCs/>
          <w:sz w:val="24"/>
          <w:szCs w:val="24"/>
          <w:highlight w:val="lightGray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2"/>
        </w:numPr>
        <w:shd w:val="clear" w:color="auto" w:fill="ffffff"/>
        <w:tabs>
          <w:tab w:val="left" w:pos="0" w:leader="none"/>
          <w:tab w:val="num" w:pos="1276" w:leader="none"/>
          <w:tab w:val="clear" w:pos="4690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45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2"/>
        </w:numPr>
        <w:shd w:val="clear" w:color="auto" w:fill="ffffff"/>
        <w:tabs>
          <w:tab w:val="left" w:pos="0" w:leader="none"/>
          <w:tab w:val="num" w:pos="1276" w:leader="none"/>
          <w:tab w:val="clear" w:pos="4690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2"/>
        </w:numPr>
        <w:shd w:val="clear" w:color="auto" w:fill="ffffff"/>
        <w:tabs>
          <w:tab w:val="left" w:pos="0" w:leader="none"/>
          <w:tab w:val="num" w:pos="1276" w:leader="none"/>
          <w:tab w:val="clear" w:pos="4690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widowControl/>
        <w:shd w:val="clear" w:color="auto" w:fill="ffffff"/>
        <w:tabs>
          <w:tab w:val="left" w:pos="0" w:leader="none"/>
          <w:tab w:val="left" w:pos="1134" w:leader="none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numPr>
          <w:numId w:val="1"/>
          <w:ilvl w:val="0"/>
        </w:numPr>
        <w:shd w:val="clear" w:color="auto" w:fill="ffffff"/>
        <w:ind w:left="0" w:firstLine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568" w:leader="none"/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568" w:leader="none"/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568" w:leader="none"/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568" w:leader="none"/>
          <w:tab w:val="num" w:pos="1134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134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6"/>
          <w:ilvl w:val="0"/>
        </w:numPr>
        <w:shd w:val="clear" w:color="auto" w:fill="ffffff"/>
        <w:tabs>
          <w:tab w:val="left" w:pos="0" w:leader="none"/>
          <w:tab w:val="left" w:pos="992" w:leader="none"/>
          <w:tab w:val="left" w:pos="1134" w:leader="none"/>
        </w:tabs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  <w:highlight w:val="lightGray"/>
          <w:vertAlign w:val="superscript"/>
        </w:rPr>
        <w:t xml:space="preserve">3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6"/>
          <w:ilvl w:val="0"/>
        </w:numPr>
        <w:shd w:val="clear" w:color="auto" w:fill="ffffff"/>
        <w:tabs>
          <w:tab w:val="left" w:pos="0" w:leader="none"/>
          <w:tab w:val="left" w:pos="992" w:leader="none"/>
          <w:tab w:val="left" w:pos="1134" w:leader="none"/>
        </w:tabs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6"/>
          <w:ilvl w:val="0"/>
        </w:numPr>
        <w:shd w:val="clear" w:color="auto" w:fill="ffffff"/>
        <w:tabs>
          <w:tab w:val="left" w:pos="0" w:leader="none"/>
          <w:tab w:val="left" w:pos="992" w:leader="none"/>
          <w:tab w:val="left" w:pos="1134" w:leader="none"/>
        </w:tabs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6"/>
          <w:ilvl w:val="0"/>
        </w:numPr>
        <w:shd w:val="clear" w:color="auto" w:fill="ffffff"/>
        <w:tabs>
          <w:tab w:val="left" w:pos="0" w:leader="none"/>
          <w:tab w:val="left" w:pos="992" w:leader="none"/>
          <w:tab w:val="left" w:pos="1134" w:leader="none"/>
        </w:tabs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6"/>
          <w:ilvl w:val="0"/>
        </w:numPr>
        <w:shd w:val="clear" w:color="auto" w:fill="ffffff"/>
        <w:tabs>
          <w:tab w:val="left" w:pos="0" w:leader="none"/>
          <w:tab w:val="left" w:pos="992" w:leader="none"/>
          <w:tab w:val="left" w:pos="1134" w:leader="none"/>
        </w:tabs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4"/>
          <w:szCs w:val="24"/>
        </w:rPr>
        <w:br/>
        <w:t xml:space="preserve">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заявляет и заверяет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в том, что на момент заключения Договора: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7"/>
          <w:ilvl w:val="0"/>
        </w:numPr>
        <w:shd w:val="clear" w:color="auto" w:fill="ffffff"/>
        <w:tabs>
          <w:tab w:val="left" w:pos="0" w:leader="none"/>
          <w:tab w:val="left" w:pos="709" w:leader="none"/>
          <w:tab w:val="left" w:pos="1134" w:leader="none"/>
        </w:tabs>
        <w:ind w:left="0" w:right="0" w:firstLine="360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учредителем</w:t>
      </w:r>
      <w:r>
        <w:rPr>
          <w:sz w:val="24"/>
          <w:szCs w:val="24"/>
          <w:highlight w:val="lightGray"/>
        </w:rPr>
        <w:t xml:space="preserve">/ учредителями </w:t>
      </w:r>
      <w:r>
        <w:rPr>
          <w:sz w:val="24"/>
          <w:szCs w:val="24"/>
          <w:highlight w:val="lightGray"/>
        </w:rPr>
        <w:t xml:space="preserve">Поставщика</w:t>
      </w:r>
      <w:r>
        <w:rPr>
          <w:sz w:val="24"/>
          <w:szCs w:val="24"/>
          <w:highlight w:val="lightGray"/>
        </w:rPr>
        <w:t xml:space="preserve"> являются лица, не я</w:t>
      </w:r>
      <w:r>
        <w:rPr>
          <w:sz w:val="24"/>
          <w:szCs w:val="24"/>
          <w:highlight w:val="lightGray"/>
        </w:rPr>
        <w:t xml:space="preserve">вляющиеся массовыми учредителем</w:t>
      </w:r>
      <w:r>
        <w:rPr>
          <w:sz w:val="24"/>
          <w:szCs w:val="24"/>
          <w:highlight w:val="lightGray"/>
        </w:rPr>
        <w:t xml:space="preserve">/ учредителями;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widowControl/>
        <w:numPr>
          <w:numId w:val="37"/>
          <w:ilvl w:val="0"/>
        </w:numPr>
        <w:shd w:val="clear" w:color="auto" w:fill="ffffff"/>
        <w:tabs>
          <w:tab w:val="left" w:pos="0" w:leader="none"/>
          <w:tab w:val="left" w:pos="709" w:leader="none"/>
          <w:tab w:val="left" w:pos="1134" w:leader="none"/>
        </w:tabs>
        <w:ind w:left="0" w:right="0" w:firstLine="360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руководителем </w:t>
      </w:r>
      <w:r>
        <w:rPr>
          <w:sz w:val="24"/>
          <w:szCs w:val="24"/>
          <w:highlight w:val="lightGray"/>
        </w:rPr>
        <w:t xml:space="preserve">Поставщика</w:t>
      </w:r>
      <w:r>
        <w:rPr>
          <w:sz w:val="24"/>
          <w:szCs w:val="24"/>
          <w:highlight w:val="lightGray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widowControl/>
        <w:numPr>
          <w:numId w:val="37"/>
          <w:ilvl w:val="0"/>
        </w:numPr>
        <w:shd w:val="clear" w:color="auto" w:fill="ffffff"/>
        <w:tabs>
          <w:tab w:val="left" w:pos="0" w:leader="none"/>
          <w:tab w:val="left" w:pos="709" w:leader="none"/>
          <w:tab w:val="left" w:pos="1134" w:leader="none"/>
        </w:tabs>
        <w:ind w:left="0" w:right="0" w:firstLine="360"/>
        <w:jc w:val="both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Поставщик </w:t>
      </w:r>
      <w:r>
        <w:rPr>
          <w:sz w:val="24"/>
          <w:szCs w:val="24"/>
          <w:highlight w:val="lightGray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036"/>
          <w:sz w:val="24"/>
          <w:szCs w:val="24"/>
          <w:highlight w:val="lightGray"/>
        </w:rPr>
        <w:footnoteReference w:id="4"/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widowControl/>
        <w:numPr>
          <w:numId w:val="37"/>
          <w:ilvl w:val="0"/>
        </w:numPr>
        <w:shd w:val="clear" w:color="auto" w:fill="ffffff"/>
        <w:tabs>
          <w:tab w:val="left" w:pos="0" w:leader="none"/>
          <w:tab w:val="left" w:pos="709" w:leader="none"/>
          <w:tab w:val="left" w:pos="1134" w:leader="none"/>
        </w:tabs>
        <w:ind w:left="0" w:righ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уплачивает налоги и сборы </w:t>
      </w:r>
      <w:r>
        <w:rPr>
          <w:sz w:val="24"/>
          <w:szCs w:val="24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7"/>
          <w:ilvl w:val="0"/>
        </w:numPr>
        <w:shd w:val="clear" w:color="auto" w:fill="ffffff"/>
        <w:tabs>
          <w:tab w:val="left" w:pos="0" w:leader="none"/>
          <w:tab w:val="left" w:pos="709" w:leader="none"/>
          <w:tab w:val="left" w:pos="1134" w:leader="none"/>
        </w:tabs>
        <w:ind w:left="0" w:righ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находится в процедуре несостоятельности (банкротства) </w:t>
      </w:r>
      <w:r>
        <w:rPr>
          <w:sz w:val="24"/>
          <w:szCs w:val="24"/>
        </w:rPr>
        <w:br/>
        <w:t xml:space="preserve">в соответстви</w:t>
      </w:r>
      <w:r>
        <w:rPr>
          <w:sz w:val="24"/>
          <w:szCs w:val="24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7"/>
          <w:ilvl w:val="0"/>
        </w:numPr>
        <w:shd w:val="clear" w:color="auto" w:fill="ffffff"/>
        <w:tabs>
          <w:tab w:val="left" w:pos="0" w:leader="none"/>
          <w:tab w:val="left" w:pos="709" w:leader="none"/>
          <w:tab w:val="left" w:pos="1134" w:leader="none"/>
        </w:tabs>
        <w:ind w:left="0" w:righ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7"/>
          <w:ilvl w:val="0"/>
        </w:numPr>
        <w:shd w:val="clear" w:color="auto" w:fill="ffffff"/>
        <w:tabs>
          <w:tab w:val="left" w:pos="0" w:leader="none"/>
          <w:tab w:val="left" w:pos="709" w:leader="none"/>
          <w:tab w:val="left" w:pos="1134" w:leader="none"/>
        </w:tabs>
        <w:ind w:left="0" w:righ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37"/>
          <w:ilvl w:val="0"/>
        </w:numPr>
        <w:shd w:val="clear" w:color="auto" w:fill="ffffff"/>
        <w:tabs>
          <w:tab w:val="left" w:pos="0" w:leader="none"/>
          <w:tab w:val="left" w:pos="709" w:leader="none"/>
          <w:tab w:val="left" w:pos="1134" w:leader="none"/>
        </w:tabs>
        <w:ind w:left="0" w:righ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numPr>
          <w:numId w:val="1"/>
          <w:ilvl w:val="1"/>
        </w:numPr>
        <w:tabs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276" w:leader="none"/>
          <w:tab w:val="left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shd w:val="clear" w:color="auto" w:fill="ffffff"/>
        <w:tabs>
          <w:tab w:val="left" w:pos="1134" w:leader="none"/>
          <w:tab w:val="left" w:pos="1418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709" w:leader="none"/>
          <w:tab w:val="left" w:pos="1276" w:leader="none"/>
        </w:tabs>
        <w:ind w:left="0" w:firstLine="709"/>
        <w:jc w:val="both"/>
      </w:pPr>
      <w:r>
        <w:rPr>
          <w:sz w:val="24"/>
          <w:szCs w:val="24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</w:rPr>
        <w:t xml:space="preserve">. </w:t>
      </w:r>
    </w:p>
    <w:p>
      <w:pPr>
        <w:pStyle w:val="1025"/>
        <w:widowControl/>
        <w:shd w:val="clear" w:color="auto" w:fill="ffffff"/>
        <w:tabs>
          <w:tab w:val="left" w:pos="1134" w:leader="none"/>
          <w:tab w:val="left" w:pos="1276" w:leader="none"/>
        </w:tabs>
        <w:ind w:left="0" w:firstLine="709"/>
        <w:jc w:val="both"/>
      </w:pPr>
      <w:r>
        <w:rPr>
          <w:sz w:val="24"/>
          <w:szCs w:val="24"/>
        </w:rPr>
        <w:t xml:space="preserve">Стороны установили, что существенным нарушением Договора Поставщиком является: </w:t>
      </w:r>
    </w:p>
    <w:p>
      <w:pPr>
        <w:pStyle w:val="1049"/>
        <w:numPr>
          <w:numId w:val="38"/>
          <w:ilvl w:val="0"/>
        </w:numPr>
        <w:tabs>
          <w:tab w:val="left" w:pos="1134" w:leader="none"/>
        </w:tabs>
        <w:spacing w:before="0" w:beforeAutospacing="0" w:after="0" w:afterAutospacing="0"/>
        <w:ind w:left="0" w:right="0" w:firstLine="709"/>
        <w:jc w:val="both"/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highlight w:val="white"/>
        </w:rPr>
        <w:t xml:space="preserve"> (партий Товара)</w:t>
      </w:r>
      <w:r>
        <w:rPr>
          <w:highlight w:val="white"/>
        </w:rPr>
        <w:t xml:space="preserve">, установленных </w:t>
      </w:r>
      <w:r>
        <w:rPr>
          <w:highlight w:val="white"/>
        </w:rPr>
        <w:t xml:space="preserve">Заявками Покупателя</w:t>
      </w:r>
      <w:r>
        <w:rPr>
          <w:highlight w:val="white"/>
        </w:rPr>
        <w:t xml:space="preserve">, 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49"/>
        <w:numPr>
          <w:numId w:val="38"/>
          <w:ilvl w:val="0"/>
        </w:numPr>
        <w:tabs>
          <w:tab w:val="left" w:pos="1134" w:leader="none"/>
        </w:tabs>
        <w:spacing w:before="0" w:beforeAutospacing="0" w:after="0" w:afterAutospacing="0"/>
        <w:ind w:left="0" w:right="0" w:firstLine="709"/>
        <w:jc w:val="both"/>
      </w:pPr>
      <w: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t xml:space="preserve">60 (шестьдесят</w:t>
      </w:r>
      <w:r>
        <w:t xml:space="preserve">) календарных дней</w:t>
      </w:r>
      <w:r>
        <w:t xml:space="preserve">,</w:t>
      </w:r>
      <w:r>
        <w:t xml:space="preserve"> либо такие недостатки (дефекты) являются неустранимыми;</w:t>
      </w:r>
      <w:r>
        <w:t xml:space="preserve"> </w:t>
      </w:r>
    </w:p>
    <w:p>
      <w:pPr>
        <w:pStyle w:val="1049"/>
        <w:numPr>
          <w:numId w:val="38"/>
          <w:ilvl w:val="0"/>
        </w:numPr>
        <w:tabs>
          <w:tab w:val="left" w:pos="1134" w:leader="none"/>
        </w:tabs>
        <w:spacing w:before="0" w:beforeAutospacing="0" w:after="0" w:afterAutospacing="0"/>
        <w:ind w:left="0" w:right="0" w:firstLine="709"/>
        <w:jc w:val="both"/>
      </w:pPr>
      <w: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</w:p>
    <w:p>
      <w:pPr>
        <w:pStyle w:val="1049"/>
        <w:numPr>
          <w:numId w:val="38"/>
          <w:ilvl w:val="0"/>
        </w:numPr>
        <w:tabs>
          <w:tab w:val="left" w:pos="1134" w:leader="none"/>
        </w:tabs>
        <w:spacing w:before="0" w:beforeAutospacing="0" w:after="0" w:afterAutospacing="0"/>
        <w:ind w:left="0" w:right="0" w:firstLine="709"/>
        <w:jc w:val="both"/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49"/>
        <w:numPr>
          <w:numId w:val="1"/>
          <w:ilvl w:val="1"/>
        </w:numPr>
        <w:tabs>
          <w:tab w:val="left" w:pos="1276" w:leader="none"/>
        </w:tabs>
        <w:spacing w:before="0" w:beforeAutospacing="0" w:after="0" w:afterAutospacing="0"/>
        <w:ind w:left="0" w:firstLine="709"/>
        <w:jc w:val="both"/>
      </w:pPr>
      <w:r>
        <w:t xml:space="preserve">В случае отказа Покупателя от Договора в случаях, предусмотренных пунктами 1</w:t>
      </w:r>
      <w:r>
        <w:t xml:space="preserve">1</w:t>
      </w:r>
      <w:r>
        <w:t xml:space="preserve">.</w:t>
      </w:r>
      <w:r>
        <w:t xml:space="preserve">2</w:t>
      </w:r>
      <w:r>
        <w:t xml:space="preserve">, 1</w:t>
      </w:r>
      <w:r>
        <w:t xml:space="preserve">1</w:t>
      </w:r>
      <w:r>
        <w:t xml:space="preserve">.</w:t>
      </w:r>
      <w:r>
        <w:t xml:space="preserve">3</w:t>
      </w:r>
      <w: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</w:p>
    <w:p>
      <w:pPr>
        <w:pStyle w:val="1049"/>
        <w:numPr>
          <w:numId w:val="1"/>
          <w:ilvl w:val="1"/>
        </w:numPr>
        <w:tabs>
          <w:tab w:val="left" w:pos="1276" w:leader="none"/>
        </w:tabs>
        <w:spacing w:before="0" w:beforeAutospacing="0" w:after="0" w:afterAutospacing="0"/>
        <w:ind w:left="0" w:firstLine="709"/>
        <w:jc w:val="both"/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</w:p>
    <w:p>
      <w:pPr>
        <w:pStyle w:val="1049"/>
        <w:numPr>
          <w:numId w:val="1"/>
          <w:ilvl w:val="1"/>
        </w:numPr>
        <w:tabs>
          <w:tab w:val="left" w:pos="1276" w:leader="none"/>
        </w:tabs>
        <w:spacing w:before="0" w:beforeAutospacing="0" w:after="0" w:afterAutospacing="0"/>
        <w:ind w:left="0" w:firstLine="709"/>
        <w:jc w:val="both"/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</w:p>
    <w:p>
      <w:pPr>
        <w:pStyle w:val="1025"/>
        <w:widowControl/>
        <w:shd w:val="clear" w:color="auto" w:fill="ffffff"/>
        <w:tabs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shd w:val="clear" w:color="auto" w:fill="ffffff"/>
        <w:tabs>
          <w:tab w:val="left" w:pos="142" w:leader="none"/>
        </w:tabs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«___» __________ 20___г.,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bookmarkStart w:id="39" w:name="_Ref361338019"/>
      <w:r>
        <w:rPr>
          <w:sz w:val="24"/>
          <w:szCs w:val="24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</w:rPr>
        <w:t xml:space="preserve">следующими способами: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numId w:val="1"/>
          <w:ilvl w:val="2"/>
        </w:numPr>
        <w:tabs>
          <w:tab w:val="num" w:pos="1560" w:leader="none"/>
          <w:tab w:val="clear" w:pos="4690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Заказным почтовым отправлением с уведомлением о вручении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lightGray"/>
        </w:rPr>
        <w:t xml:space="preserve">нахождения</w:t>
      </w:r>
      <w:r>
        <w:rPr>
          <w:sz w:val="24"/>
          <w:szCs w:val="24"/>
          <w:highlight w:val="lightGray"/>
        </w:rPr>
        <w:t xml:space="preserve">/ почтовому адресу</w:t>
      </w:r>
      <w:r>
        <w:rPr>
          <w:sz w:val="24"/>
          <w:szCs w:val="24"/>
        </w:rPr>
        <w:t xml:space="preserve">, указанному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numId w:val="1"/>
          <w:ilvl w:val="2"/>
        </w:numPr>
        <w:tabs>
          <w:tab w:val="num" w:pos="1560" w:leader="none"/>
          <w:tab w:val="clear" w:pos="4690" w:leader="none"/>
        </w:tabs>
        <w:ind w:left="0" w:firstLine="709"/>
        <w:jc w:val="both"/>
        <w:rPr>
          <w:sz w:val="24"/>
          <w:szCs w:val="24"/>
        </w:rPr>
      </w:pPr>
      <w:bookmarkStart w:id="40" w:name="_Ref361338032"/>
      <w:bookmarkEnd w:id="39"/>
      <w:r>
        <w:rPr>
          <w:bCs/>
          <w:sz w:val="24"/>
          <w:szCs w:val="24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lightGray"/>
        </w:rPr>
        <w:t xml:space="preserve">нахождения/ почтовому адресу</w:t>
      </w:r>
      <w:r>
        <w:rPr>
          <w:sz w:val="24"/>
          <w:szCs w:val="24"/>
        </w:rPr>
        <w:t xml:space="preserve">, указанному в разделе 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</w:rPr>
        <w:t xml:space="preserve">;</w:t>
      </w:r>
      <w:bookmarkEnd w:id="4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numId w:val="1"/>
          <w:ilvl w:val="2"/>
        </w:numPr>
        <w:tabs>
          <w:tab w:val="num" w:pos="1560" w:leader="none"/>
          <w:tab w:val="clear" w:pos="4690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осредством электронной почты (</w:t>
      </w:r>
      <w:r>
        <w:rPr>
          <w:bCs/>
          <w:sz w:val="24"/>
          <w:szCs w:val="24"/>
          <w:lang w:val="en-US"/>
        </w:rPr>
        <w:t xml:space="preserve">e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mail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Оригиналы документов, направленны</w:t>
      </w:r>
      <w:r>
        <w:rPr>
          <w:bCs/>
          <w:sz w:val="24"/>
          <w:szCs w:val="24"/>
        </w:rPr>
        <w:t xml:space="preserve">е посредством электронной почты</w:t>
      </w:r>
      <w:r>
        <w:rPr>
          <w:bCs/>
          <w:sz w:val="24"/>
          <w:szCs w:val="24"/>
        </w:rPr>
        <w:t xml:space="preserve">, должны не </w:t>
      </w:r>
      <w:r>
        <w:rPr>
          <w:bCs/>
          <w:sz w:val="24"/>
          <w:szCs w:val="24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</w:rPr>
        <w:t xml:space="preserve">унктах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.7.1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.7.2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tabs>
          <w:tab w:val="left" w:pos="0" w:leader="none"/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</w:t>
      </w:r>
      <w:r>
        <w:rPr>
          <w:bCs/>
          <w:sz w:val="24"/>
          <w:szCs w:val="24"/>
          <w:highlight w:val="white"/>
        </w:rPr>
        <w:t xml:space="preserve">документооборота Сторон.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 всем остальном, что не урегулировано Договором</w:t>
      </w:r>
      <w:r>
        <w:rPr>
          <w:sz w:val="24"/>
          <w:szCs w:val="24"/>
          <w:highlight w:val="white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widowControl/>
        <w:numPr>
          <w:numId w:val="1"/>
          <w:ilvl w:val="1"/>
        </w:numPr>
        <w:shd w:val="clear" w:color="auto" w:fill="ffffff"/>
        <w:tabs>
          <w:tab w:val="left" w:pos="0" w:leader="none"/>
          <w:tab w:val="left" w:pos="1276" w:leader="none"/>
        </w:tabs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 заключается в электронной форме с использованием программно-аппаратных средств </w:t>
      </w:r>
      <w:r>
        <w:rPr>
          <w:i/>
          <w:sz w:val="24"/>
          <w:szCs w:val="24"/>
          <w:highlight w:val="white"/>
        </w:rPr>
        <w:t xml:space="preserve">электронной площадки</w:t>
      </w:r>
      <w:r>
        <w:rPr>
          <w:sz w:val="24"/>
          <w:szCs w:val="24"/>
          <w:highlight w:val="white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widowControl/>
        <w:shd w:val="clear" w:color="auto" w:fill="ffffff"/>
        <w:tabs>
          <w:tab w:val="left" w:pos="0" w:leader="none"/>
          <w:tab w:val="left" w:pos="1418" w:leader="none"/>
        </w:tabs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widowControl/>
        <w:numPr>
          <w:numId w:val="1"/>
          <w:ilvl w:val="0"/>
        </w:numPr>
        <w:shd w:val="clear" w:color="auto" w:fill="ffffff"/>
        <w:ind w:left="0" w:firstLine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/>
        <w:shd w:val="clear" w:color="auto" w:fill="ffffff"/>
        <w:tabs>
          <w:tab w:val="left" w:pos="0" w:leader="none"/>
          <w:tab w:val="left" w:pos="2694" w:leader="none"/>
        </w:tabs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shd w:val="clear" w:color="auto" w:fill="ffffff"/>
        <w:tabs>
          <w:tab w:val="left" w:pos="0" w:leader="none"/>
          <w:tab w:val="left" w:pos="269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widowControl/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Адреса и платежные реквизиты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/>
        <w:shd w:val="clear" w:color="auto" w:fill="ffffff"/>
        <w:ind w:left="0"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rPr/>
        <w:tblPrEx/>
        <w:tc>
          <w:tcPr>
            <w:tcW w:w="4928" w:type="dxa"/>
            <w:shd w:val="clear" w:color="ffffff" w:themeColor="background1" w:fill="ffffff" w:themeFill="background1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4853" w:type="dxa"/>
            <w:gridSpan w:val="3"/>
            <w:shd w:val="clear" w:color="ffffff" w:themeColor="background1" w:fill="ffffff" w:themeFill="background1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rPr/>
        <w:tblPrEx/>
        <w:tc>
          <w:tcPr>
            <w:tcW w:w="4928" w:type="dxa"/>
            <w:shd w:val="clear" w:color="ffffff" w:themeColor="background1" w:fill="ffffff" w:themeFill="background1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ул.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853" w:type="dxa"/>
            <w:gridSpan w:val="3"/>
            <w:shd w:val="clear" w:color="ffffff" w:themeColor="background1" w:fill="ffffff" w:themeFill="background1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gridAfter w:val="1"/>
        </w:trPr>
        <w:tblPrEx/>
        <w:tc>
          <w:tcPr>
            <w:tcW w:w="4960" w:type="dxa"/>
            <w:gridSpan w:val="2"/>
            <w:shd w:val="clear" w:color="ffffff" w:themeColor="background1" w:fill="ffffff" w:themeFill="background1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shd w:val="clear" w:color="ffffff" w:themeColor="background1" w:fill="ffffff" w:themeFill="background1"/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1025"/>
        <w:widowControl/>
        <w:shd w:val="clear" w:color="auto" w:fill="ffffff"/>
        <w:tabs>
          <w:tab w:val="left" w:pos="426" w:leader="none"/>
        </w:tabs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69"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669"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69"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W w:w="4632" w:type="pct"/>
        <w:tblInd w:w="95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1"/>
        <w:gridCol w:w="2076"/>
        <w:gridCol w:w="2203"/>
        <w:gridCol w:w="1984"/>
        <w:gridCol w:w="1417"/>
        <w:gridCol w:w="709"/>
        <w:gridCol w:w="850"/>
        <w:gridCol w:w="1134"/>
        <w:gridCol w:w="1276"/>
        <w:gridCol w:w="1417"/>
      </w:tblGrid>
      <w:tr>
        <w:trPr>
          <w:trHeight w:val="460"/>
        </w:trPr>
        <w:tblPrEx/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Наименование товара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2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Технические и функциональные характеристики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Страна происхождения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/ Наименование реестра 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номер реестровой записи 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соответствующих реестров ПП РФ № 1875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(если применимо)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Производитель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Ед. изм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Цена в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Сумма,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t xml:space="preserve">Получатель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84"/>
        </w:trPr>
        <w:tblPrEx/>
        <w:tc>
          <w:tcPr>
            <w:tcW w:w="431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076" w:type="dxa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03" w:type="dxa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49"/>
        </w:trPr>
        <w:tblPrEx/>
        <w:tc>
          <w:tcPr>
            <w:tcW w:w="108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ИТОГО: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3"/>
        </w:trPr>
        <w:tblPrEx/>
        <w:tc>
          <w:tcPr>
            <w:tcW w:w="108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кроме того НДС (___) %: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</w:pPr>
          </w:p>
        </w:tc>
      </w:tr>
      <w:tr>
        <w:trPr>
          <w:trHeight w:val="271"/>
        </w:trPr>
        <w:tblPrEx/>
        <w:tc>
          <w:tcPr>
            <w:tcW w:w="108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ВСЕГО с НДС (___) %: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pStyle w:val="1001"/>
              <w:widowControl w:val="off"/>
            </w:pP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01"/>
        <w:ind w:left="6372" w:firstLine="0"/>
        <w:rPr>
          <w:b/>
          <w:bCs/>
          <w:highlight w:val="none"/>
        </w:rPr>
      </w:pPr>
      <w:r>
        <w:rPr>
          <w:b/>
          <w:bCs/>
          <w:szCs w:val="24"/>
        </w:rPr>
        <w:t xml:space="preserve">Реквизиты грузополучателей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13535" w:type="dxa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551"/>
        <w:gridCol w:w="2191"/>
        <w:gridCol w:w="2551"/>
        <w:gridCol w:w="5695"/>
      </w:tblGrid>
      <w:tr>
        <w:trPr>
          <w:trHeight w:val="624"/>
        </w:trPr>
        <w:tblPrEx/>
        <w:tc>
          <w:tcPr>
            <w:tcW w:w="547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line="240" w:lineRule="auto"/>
              <w:ind w:hanging="109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551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spacing w:line="240" w:lineRule="auto"/>
              <w:ind w:firstLine="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Получатель </w:t>
            </w: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191" w:type="dxa"/>
            <w:noWrap w:val="false"/>
            <w:textDirection w:val="lrTb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Адрес доставки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551" w:type="dxa"/>
            <w:noWrap w:val="false"/>
            <w:textDirection w:val="lrTb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Контактные данные 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569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Грузополучатель,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образец заполнения </w:t>
            </w: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 торг-12 / или </w:t>
            </w: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УПД</w:t>
            </w:r>
            <w:bookmarkStart w:id="0" w:name="undefined"/>
            <w:r>
              <w:rPr>
                <w:color w:val="000000" w:themeColor="text1"/>
                <w:sz w:val="20"/>
                <w:szCs w:val="20"/>
              </w:rPr>
            </w:r>
            <w:bookmarkEnd w:id="0"/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78"/>
        </w:trPr>
        <w:tblPrEx/>
        <w:tc>
          <w:tcPr>
            <w:tcW w:w="547" w:type="dxa"/>
            <w:shd w:val="clear" w:color="ffffff" w:fill="ffffff"/>
            <w:noWrap/>
            <w:textDirection w:val="lrTb"/>
            <w:vAlign w:val="center"/>
          </w:tcPr>
          <w:p>
            <w:pPr>
              <w:numPr>
                <w:numId w:val="39"/>
                <w:ilvl w:val="0"/>
              </w:numPr>
              <w:tabs>
                <w:tab w:val="left" w:pos="360" w:leader="none"/>
              </w:tabs>
              <w:spacing w:line="240" w:lineRule="auto"/>
              <w:ind w:left="316" w:hanging="283"/>
              <w:contextualSpacing/>
              <w:jc w:val="lef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551" w:type="dxa"/>
            <w:shd w:val="clear" w:color="ffffff" w:fill="ffffff"/>
            <w:noWrap w:val="false"/>
            <w:textDirection w:val="lrTb"/>
            <w:vAlign w:val="center"/>
          </w:tcPr>
          <w:p/>
        </w:tc>
        <w:tc>
          <w:tcPr>
            <w:tcW w:w="2191" w:type="dxa"/>
            <w:noWrap w:val="false"/>
            <w:textDirection w:val="lrTb"/>
            <w:vAlign w:val="center"/>
          </w:tcPr>
          <w:p/>
        </w:tc>
        <w:tc>
          <w:tcPr>
            <w:tcW w:w="2551" w:type="dxa"/>
            <w:noWrap w:val="false"/>
            <w:textDirection w:val="lrTb"/>
            <w:vAlign w:val="center"/>
          </w:tcPr>
          <w:p/>
        </w:tc>
        <w:tc>
          <w:tcPr>
            <w:tcW w:w="5695" w:type="dxa"/>
            <w:shd w:val="clear" w:color="ffffff" w:fill="ffffff"/>
            <w:noWrap w:val="false"/>
            <w:textDirection w:val="lrTb"/>
            <w:vAlign w:val="center"/>
          </w:tcPr>
          <w:p/>
        </w:tc>
      </w:tr>
    </w:tbl>
    <w:p>
      <w:pPr>
        <w:pStyle w:val="1053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tbl>
      <w:tblPr>
        <w:tblpPr w:horzAnchor="margin" w:tblpXSpec="center" w:vertAnchor="text" w:tblpY="123" w:leftFromText="180" w:topFromText="0" w:rightFromText="180" w:bottomFromText="0"/>
        <w:tblW w:w="1119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54"/>
        <w:gridCol w:w="5244"/>
      </w:tblGrid>
      <w:tr>
        <w:trPr>
          <w:trHeight w:val="796"/>
        </w:trPr>
        <w:tblPrEx/>
        <w:tc>
          <w:tcPr>
            <w:tcW w:w="5954" w:type="dxa"/>
            <w:noWrap w:val="false"/>
            <w:textDirection w:val="lrTb"/>
          </w:tcPr>
          <w:p>
            <w:pPr>
              <w:pStyle w:val="1001"/>
              <w:widowControl w:val="off"/>
              <w:tabs>
                <w:tab w:val="clear" w:pos="720" w:leader="none"/>
                <w:tab w:val="left" w:pos="9639" w:leader="none"/>
              </w:tabs>
            </w:pPr>
            <w:r>
              <w:rPr>
                <w:rFonts w:eastAsia="PT Astra Serif"/>
                <w:b/>
                <w:szCs w:val="24"/>
              </w:rPr>
              <w:t xml:space="preserve">ПОКУПАТЕЛЬ </w:t>
            </w:r>
            <w:r>
              <w:rPr>
                <w:rFonts w:eastAsia="PT Astra Serif" w:cs="Times New Roman"/>
                <w:bCs/>
                <w:spacing w:val="-3"/>
              </w:rPr>
              <w:t xml:space="preserve">  </w:t>
            </w:r>
            <w:r>
              <w:rPr>
                <w:rFonts w:eastAsia="PT Astra Serif" w:cs="Times New Roman"/>
              </w:rPr>
              <w:t xml:space="preserve">____________/ ___________</w:t>
            </w:r>
          </w:p>
          <w:p>
            <w:pPr>
              <w:pStyle w:val="1029"/>
              <w:widowControl w:val="off"/>
              <w:ind w:firstLine="0"/>
              <w:jc w:val="both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</w:tc>
        <w:tc>
          <w:tcPr>
            <w:tcW w:w="5244" w:type="dxa"/>
            <w:noWrap w:val="false"/>
            <w:textDirection w:val="lrTb"/>
          </w:tcPr>
          <w:p>
            <w:pPr>
              <w:pStyle w:val="1001"/>
              <w:widowControl w:val="off"/>
              <w:tabs>
                <w:tab w:val="clear" w:pos="720" w:leader="none"/>
                <w:tab w:val="left" w:pos="9639" w:leader="none"/>
              </w:tabs>
              <w:rPr>
                <w:rFonts w:ascii="Times New Roman" w:hAnsi="Times New Roman" w:eastAsia="PT Astra Serif" w:cs="Times New Roman"/>
              </w:rPr>
            </w:pPr>
            <w:r>
              <w:rPr>
                <w:rFonts w:eastAsia="PT Astra Serif"/>
                <w:b/>
                <w:szCs w:val="24"/>
              </w:rPr>
              <w:t xml:space="preserve">ПОСТАВЩИК  </w:t>
            </w:r>
            <w:r>
              <w:rPr>
                <w:rFonts w:eastAsia="PT Astra Serif" w:cs="Times New Roman"/>
              </w:rPr>
              <w:t xml:space="preserve">_________/ ____________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pStyle w:val="1001"/>
              <w:widowControl w:val="off"/>
              <w:tabs>
                <w:tab w:val="clear" w:pos="720" w:leader="none"/>
                <w:tab w:val="left" w:pos="9639" w:leader="none"/>
              </w:tabs>
            </w:pPr>
          </w:p>
        </w:tc>
      </w:tr>
    </w:tbl>
    <w:p>
      <w:pPr>
        <w:pStyle w:val="1053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1053"/>
        <w:spacing w:before="0" w:after="0" w:line="276" w:lineRule="auto"/>
        <w:ind w:firstLine="567"/>
        <w:jc w:val="center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widowControl/>
        <w:ind w:firstLine="709"/>
        <w:jc w:val="center"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6838" w:h="11906" w:orient="landscape"/>
          <w:pgMar w:top="993" w:right="1134" w:bottom="851" w:left="1134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2700" w:leader="none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2700" w:leader="none"/>
        </w:tabs>
        <w:jc w:val="center"/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tabs>
          <w:tab w:val="left" w:pos="2700" w:leader="none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2700" w:leader="none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344"/>
        <w:gridCol w:w="1446"/>
        <w:gridCol w:w="979"/>
        <w:gridCol w:w="1611"/>
        <w:gridCol w:w="1347"/>
        <w:gridCol w:w="1154"/>
        <w:gridCol w:w="1153"/>
      </w:tblGrid>
      <w:tr>
        <w:trPr>
          <w:trHeight w:val="543"/>
        </w:trPr>
        <w:tblPrEx/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Сумма,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556"/>
        </w:trPr>
        <w:tblPrEx/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extDirection w:val="lrTb"/>
            <w:vAlign w:val="center"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rPr>
          <w:trHeight w:val="556"/>
        </w:trPr>
        <w:tblPrEx/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noWrap/>
            <w:textDirection w:val="lrTb"/>
            <w:vAlign w:val="center"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rPr>
          <w:trHeight w:val="556"/>
        </w:trPr>
        <w:tblPrEx/>
        <w:tc>
          <w:tcPr>
            <w:tcW w:w="6108" w:type="dxa"/>
            <w:gridSpan w:val="5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ind w:firstLine="709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Итого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  <w:p>
            <w:pPr>
              <w:ind w:firstLine="709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1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230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х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</w:tbl>
    <w:p>
      <w:pPr>
        <w:ind w:firstLine="709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rPr/>
        <w:tblPrEx/>
        <w:tc>
          <w:tcPr>
            <w:tcW w:w="4820" w:type="dxa"/>
            <w:shd w:val="clear" w:color="auto" w:fill="auto"/>
            <w:noWrap w:val="false"/>
            <w:textDirection w:val="lrTb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03" w:type="dxa"/>
            <w:shd w:val="clear" w:color="auto" w:fill="auto"/>
            <w:noWrap w:val="false"/>
            <w:textDirection w:val="lrTb"/>
          </w:tcPr>
          <w:p/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outlineLvl w:val="0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outlineLvl w:val="0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rPr/>
        <w:tblPrEx/>
        <w:tc>
          <w:tcPr>
            <w:tcW w:w="4820" w:type="dxa"/>
            <w:shd w:val="clear" w:color="auto" w:fill="auto"/>
            <w:noWrap w:val="false"/>
            <w:textDirection w:val="lrTb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03" w:type="dxa"/>
            <w:shd w:val="clear" w:color="auto" w:fill="auto"/>
            <w:noWrap w:val="false"/>
            <w:textDirection w:val="lrTb"/>
          </w:tcPr>
          <w:p>
            <w:pPr>
              <w:widowControl/>
              <w:ind w:hang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Noto Serif CJK SC">
    <w:panose1 w:val="020B0502040504020204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PT Astra Serif">
    <w:panose1 w:val="020A0603040505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2">
    <w:p>
      <w:pPr>
        <w:pStyle w:val="1034"/>
      </w:pPr>
      <w:r>
        <w:rPr>
          <w:rStyle w:val="1036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</w:p>
  </w:footnote>
  <w:footnote w:id="3">
    <w:p>
      <w:pPr>
        <w:pStyle w:val="1034"/>
      </w:pPr>
      <w:r>
        <w:rPr>
          <w:rStyle w:val="1036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</w:p>
  </w:footnote>
  <w:footnote w:id="4">
    <w:p>
      <w:pPr>
        <w:pStyle w:val="1034"/>
      </w:pPr>
      <w:r>
        <w:rPr>
          <w:rStyle w:val="1036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708" w:leader="none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tabs>
          <w:tab w:val="num" w:pos="1353" w:leader="none"/>
        </w:tabs>
        <w:ind w:left="135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2880" w:leader="none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3600" w:leader="none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5040" w:leader="none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5760" w:leader="none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858" w:leader="none"/>
        </w:tabs>
        <w:ind w:left="85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tabs>
          <w:tab w:val="num" w:pos="1778" w:leader="none"/>
        </w:tabs>
        <w:ind w:left="177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2498" w:leader="none"/>
        </w:tabs>
        <w:ind w:left="249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3218" w:leader="none"/>
        </w:tabs>
        <w:ind w:left="321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3938" w:leader="none"/>
        </w:tabs>
        <w:ind w:left="393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4658" w:leader="none"/>
        </w:tabs>
        <w:ind w:left="465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5378" w:leader="none"/>
        </w:tabs>
        <w:ind w:left="537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6098" w:leader="none"/>
        </w:tabs>
        <w:ind w:left="609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6818" w:leader="none"/>
        </w:tabs>
        <w:ind w:left="681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7538" w:leader="none"/>
        </w:tabs>
        <w:ind w:left="7538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708" w:leader="none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855" w:leader="none"/>
        </w:tabs>
        <w:ind w:left="1639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858" w:leader="none"/>
        </w:tabs>
        <w:ind w:left="858" w:hanging="432"/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708" w:leader="none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708" w:leader="none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708" w:leader="none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708" w:leader="none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708" w:leader="none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0" w:leader="none"/>
        </w:tabs>
        <w:ind w:left="1708" w:hanging="432"/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0" w:leader="none"/>
        </w:tabs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5236" w:hanging="144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858" w:leader="none"/>
        </w:tabs>
        <w:ind w:left="858" w:hanging="432"/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858" w:leader="none"/>
        </w:tabs>
        <w:ind w:left="858" w:hanging="432"/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858" w:leader="none"/>
        </w:tabs>
        <w:ind w:left="858" w:hanging="432"/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0" w:leader="none"/>
        </w:tabs>
        <w:ind w:left="1708" w:hanging="432"/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0" w:leader="none"/>
        </w:tabs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5236" w:hanging="144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858" w:leader="none"/>
        </w:tabs>
        <w:ind w:left="858" w:hanging="432"/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4690" w:leader="none"/>
        </w:tabs>
        <w:ind w:left="44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160" w:leader="none"/>
        </w:tabs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40" w:leader="none"/>
        </w:tabs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960" w:leader="none"/>
        </w:tabs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4320" w:leader="none"/>
        </w:tabs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5040" w:leader="none"/>
        </w:tabs>
        <w:ind w:left="4320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3">
    <w:name w:val="Heading 1 Char"/>
    <w:basedOn w:val="1004"/>
    <w:link w:val="1002"/>
    <w:uiPriority w:val="9"/>
    <w:rPr>
      <w:rFonts w:ascii="Arial" w:hAnsi="Arial" w:eastAsia="Arial" w:cs="Arial"/>
      <w:sz w:val="40"/>
      <w:szCs w:val="40"/>
    </w:rPr>
  </w:style>
  <w:style w:type="paragraph" w:styleId="834">
    <w:name w:val="Heading 2"/>
    <w:basedOn w:val="1001"/>
    <w:next w:val="1001"/>
    <w:link w:val="835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35">
    <w:name w:val="Heading 2 Char"/>
    <w:basedOn w:val="1004"/>
    <w:link w:val="834"/>
    <w:uiPriority w:val="9"/>
    <w:rPr>
      <w:rFonts w:ascii="Arial" w:hAnsi="Arial" w:eastAsia="Arial" w:cs="Arial"/>
      <w:sz w:val="34"/>
    </w:rPr>
  </w:style>
  <w:style w:type="character" w:styleId="836">
    <w:name w:val="Heading 3 Char"/>
    <w:basedOn w:val="1004"/>
    <w:link w:val="1003"/>
    <w:uiPriority w:val="9"/>
    <w:rPr>
      <w:rFonts w:ascii="Arial" w:hAnsi="Arial" w:eastAsia="Arial" w:cs="Arial"/>
      <w:sz w:val="30"/>
      <w:szCs w:val="30"/>
    </w:rPr>
  </w:style>
  <w:style w:type="paragraph" w:styleId="837">
    <w:name w:val="Heading 4"/>
    <w:basedOn w:val="1001"/>
    <w:next w:val="1001"/>
    <w:link w:val="838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8">
    <w:name w:val="Heading 4 Char"/>
    <w:basedOn w:val="1004"/>
    <w:link w:val="837"/>
    <w:uiPriority w:val="9"/>
    <w:rPr>
      <w:rFonts w:ascii="Arial" w:hAnsi="Arial" w:eastAsia="Arial" w:cs="Arial"/>
      <w:b/>
      <w:bCs/>
      <w:sz w:val="26"/>
      <w:szCs w:val="26"/>
    </w:rPr>
  </w:style>
  <w:style w:type="paragraph" w:styleId="839">
    <w:name w:val="Heading 5"/>
    <w:basedOn w:val="1001"/>
    <w:next w:val="1001"/>
    <w:link w:val="84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0">
    <w:name w:val="Heading 5 Char"/>
    <w:basedOn w:val="1004"/>
    <w:link w:val="839"/>
    <w:uiPriority w:val="9"/>
    <w:rPr>
      <w:rFonts w:ascii="Arial" w:hAnsi="Arial" w:eastAsia="Arial" w:cs="Arial"/>
      <w:b/>
      <w:bCs/>
      <w:sz w:val="24"/>
      <w:szCs w:val="24"/>
    </w:rPr>
  </w:style>
  <w:style w:type="paragraph" w:styleId="841">
    <w:name w:val="Heading 6"/>
    <w:basedOn w:val="1001"/>
    <w:next w:val="1001"/>
    <w:link w:val="842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2">
    <w:name w:val="Heading 6 Char"/>
    <w:basedOn w:val="1004"/>
    <w:link w:val="841"/>
    <w:uiPriority w:val="9"/>
    <w:rPr>
      <w:rFonts w:ascii="Arial" w:hAnsi="Arial" w:eastAsia="Arial" w:cs="Arial"/>
      <w:b/>
      <w:bCs/>
      <w:sz w:val="22"/>
      <w:szCs w:val="22"/>
    </w:rPr>
  </w:style>
  <w:style w:type="paragraph" w:styleId="843">
    <w:name w:val="Heading 7"/>
    <w:basedOn w:val="1001"/>
    <w:next w:val="1001"/>
    <w:link w:val="844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4">
    <w:name w:val="Heading 7 Char"/>
    <w:basedOn w:val="1004"/>
    <w:link w:val="8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5">
    <w:name w:val="Heading 8"/>
    <w:basedOn w:val="1001"/>
    <w:next w:val="1001"/>
    <w:link w:val="846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6">
    <w:name w:val="Heading 8 Char"/>
    <w:basedOn w:val="1004"/>
    <w:link w:val="845"/>
    <w:uiPriority w:val="9"/>
    <w:rPr>
      <w:rFonts w:ascii="Arial" w:hAnsi="Arial" w:eastAsia="Arial" w:cs="Arial"/>
      <w:i/>
      <w:iCs/>
      <w:sz w:val="22"/>
      <w:szCs w:val="22"/>
    </w:rPr>
  </w:style>
  <w:style w:type="paragraph" w:styleId="847">
    <w:name w:val="Heading 9"/>
    <w:basedOn w:val="1001"/>
    <w:next w:val="1001"/>
    <w:link w:val="848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8">
    <w:name w:val="Heading 9 Char"/>
    <w:basedOn w:val="1004"/>
    <w:link w:val="847"/>
    <w:uiPriority w:val="9"/>
    <w:rPr>
      <w:rFonts w:ascii="Arial" w:hAnsi="Arial" w:eastAsia="Arial" w:cs="Arial"/>
      <w:i/>
      <w:iCs/>
      <w:sz w:val="21"/>
      <w:szCs w:val="21"/>
    </w:rPr>
  </w:style>
  <w:style w:type="paragraph" w:styleId="849">
    <w:name w:val="No Spacing"/>
    <w:uiPriority w:val="1"/>
    <w:qFormat/>
    <w:pPr>
      <w:spacing w:before="0" w:after="0" w:line="240" w:lineRule="auto"/>
    </w:pPr>
  </w:style>
  <w:style w:type="character" w:styleId="850">
    <w:name w:val="Title Char"/>
    <w:basedOn w:val="1004"/>
    <w:link w:val="1007"/>
    <w:uiPriority w:val="10"/>
    <w:rPr>
      <w:sz w:val="48"/>
      <w:szCs w:val="48"/>
    </w:rPr>
  </w:style>
  <w:style w:type="paragraph" w:styleId="851">
    <w:name w:val="Subtitle"/>
    <w:basedOn w:val="1001"/>
    <w:next w:val="1001"/>
    <w:link w:val="852"/>
    <w:uiPriority w:val="11"/>
    <w:qFormat/>
    <w:pPr>
      <w:spacing w:before="200" w:after="200"/>
    </w:pPr>
    <w:rPr>
      <w:sz w:val="24"/>
      <w:szCs w:val="24"/>
    </w:rPr>
  </w:style>
  <w:style w:type="character" w:styleId="852">
    <w:name w:val="Subtitle Char"/>
    <w:basedOn w:val="1004"/>
    <w:link w:val="851"/>
    <w:uiPriority w:val="11"/>
    <w:rPr>
      <w:sz w:val="24"/>
      <w:szCs w:val="24"/>
    </w:rPr>
  </w:style>
  <w:style w:type="paragraph" w:styleId="853">
    <w:name w:val="Quote"/>
    <w:basedOn w:val="1001"/>
    <w:next w:val="1001"/>
    <w:link w:val="854"/>
    <w:uiPriority w:val="29"/>
    <w:qFormat/>
    <w:pPr>
      <w:ind w:left="720" w:right="720"/>
    </w:pPr>
    <w:rPr>
      <w:i/>
    </w:rPr>
  </w:style>
  <w:style w:type="character" w:styleId="854">
    <w:name w:val="Quote Char"/>
    <w:link w:val="853"/>
    <w:uiPriority w:val="29"/>
    <w:rPr>
      <w:i/>
    </w:rPr>
  </w:style>
  <w:style w:type="paragraph" w:styleId="855">
    <w:name w:val="Intense Quote"/>
    <w:basedOn w:val="1001"/>
    <w:next w:val="1001"/>
    <w:link w:val="85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856">
    <w:name w:val="Intense Quote Char"/>
    <w:link w:val="855"/>
    <w:uiPriority w:val="30"/>
    <w:rPr>
      <w:i/>
    </w:rPr>
  </w:style>
  <w:style w:type="character" w:styleId="857">
    <w:name w:val="Header Char"/>
    <w:basedOn w:val="1004"/>
    <w:link w:val="1041"/>
    <w:uiPriority w:val="99"/>
  </w:style>
  <w:style w:type="character" w:styleId="858">
    <w:name w:val="Footer Char"/>
    <w:basedOn w:val="1004"/>
    <w:link w:val="1016"/>
    <w:uiPriority w:val="99"/>
  </w:style>
  <w:style w:type="paragraph" w:styleId="859">
    <w:name w:val="Caption"/>
    <w:basedOn w:val="1001"/>
    <w:next w:val="1001"/>
    <w:link w:val="8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0">
    <w:name w:val="Caption Char"/>
    <w:basedOn w:val="859"/>
    <w:link w:val="1016"/>
    <w:uiPriority w:val="99"/>
  </w:style>
  <w:style w:type="table" w:styleId="861">
    <w:name w:val="Table Grid Light"/>
    <w:basedOn w:val="10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2">
    <w:name w:val="Plain Table 1"/>
    <w:basedOn w:val="10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3">
    <w:name w:val="Plain Table 2"/>
    <w:basedOn w:val="10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4">
    <w:name w:val="Plain Table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5">
    <w:name w:val="Plain Table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Plain Table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7">
    <w:name w:val="Grid Table 1 Light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1 Light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Grid Table 1 Light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5">
    <w:name w:val="Grid Table 2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6">
    <w:name w:val="Grid Table 2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7">
    <w:name w:val="Grid Table 2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8">
    <w:name w:val="Grid Table 2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9">
    <w:name w:val="Grid Table 2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0">
    <w:name w:val="Grid Table 2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1">
    <w:name w:val="Grid Table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2">
    <w:name w:val="Grid Table 3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3">
    <w:name w:val="Grid Table 3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4">
    <w:name w:val="Grid Table 3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5">
    <w:name w:val="Grid Table 3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6">
    <w:name w:val="Grid Table 3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7">
    <w:name w:val="Grid Table 3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8">
    <w:name w:val="Grid Table 4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9">
    <w:name w:val="Grid Table 4 - Accent 1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0">
    <w:name w:val="Grid Table 4 - Accent 2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1">
    <w:name w:val="Grid Table 4 - Accent 3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2">
    <w:name w:val="Grid Table 4 - Accent 4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3">
    <w:name w:val="Grid Table 4 - Accent 5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4">
    <w:name w:val="Grid Table 4 - Accent 6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5">
    <w:name w:val="Grid Table 5 Dark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96">
    <w:name w:val="Grid Table 5 Dark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897">
    <w:name w:val="Grid Table 5 Dark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898">
    <w:name w:val="Grid Table 5 Dark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899">
    <w:name w:val="Grid Table 5 Dark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900">
    <w:name w:val="Grid Table 5 Dark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901">
    <w:name w:val="Grid Table 5 Dark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902">
    <w:name w:val="Grid Table 6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3">
    <w:name w:val="Grid Table 6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4">
    <w:name w:val="Grid Table 6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5">
    <w:name w:val="Grid Table 6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6">
    <w:name w:val="Grid Table 6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7">
    <w:name w:val="Grid Table 6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8">
    <w:name w:val="Grid Table 6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9">
    <w:name w:val="Grid Table 7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0">
    <w:name w:val="Grid Table 7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1">
    <w:name w:val="Grid Table 7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2">
    <w:name w:val="Grid Table 7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3">
    <w:name w:val="Grid Table 7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4">
    <w:name w:val="Grid Table 7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5">
    <w:name w:val="Grid Table 7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6">
    <w:name w:val="List Table 1 Light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1 Light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4">
    <w:name w:val="List Table 2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5">
    <w:name w:val="List Table 2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6">
    <w:name w:val="List Table 2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7">
    <w:name w:val="List Table 2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8">
    <w:name w:val="List Table 2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9">
    <w:name w:val="List Table 2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0">
    <w:name w:val="List Table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3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3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4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5 Dark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5 Dark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0">
    <w:name w:val="List Table 5 Dark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1">
    <w:name w:val="List Table 6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2">
    <w:name w:val="List Table 6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3">
    <w:name w:val="List Table 6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4">
    <w:name w:val="List Table 6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5">
    <w:name w:val="List Table 6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6">
    <w:name w:val="List Table 6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7">
    <w:name w:val="List Table 6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8">
    <w:name w:val="List Table 7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9">
    <w:name w:val="List Table 7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60">
    <w:name w:val="List Table 7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61">
    <w:name w:val="List Table 7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2">
    <w:name w:val="List Table 7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3">
    <w:name w:val="List Table 7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64">
    <w:name w:val="List Table 7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5">
    <w:name w:val="Lined - Accent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6">
    <w:name w:val="Lined - Accent 1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67">
    <w:name w:val="Lined - Accent 2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8">
    <w:name w:val="Lined - Accent 3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9">
    <w:name w:val="Lined - Accent 4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0">
    <w:name w:val="Lined - Accent 5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71">
    <w:name w:val="Lined - Accent 6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2">
    <w:name w:val="Bordered &amp; Lined - Accent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3">
    <w:name w:val="Bordered &amp; Lined - Accent 1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74">
    <w:name w:val="Bordered &amp; Lined - Accent 2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5">
    <w:name w:val="Bordered &amp; Lined - Accent 3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6">
    <w:name w:val="Bordered &amp; Lined - Accent 4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7">
    <w:name w:val="Bordered &amp; Lined - Accent 5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78">
    <w:name w:val="Bordered &amp; Lined - Accent 6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9">
    <w:name w:val="Bordered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0">
    <w:name w:val="Bordered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1">
    <w:name w:val="Bordered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2">
    <w:name w:val="Bordered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3">
    <w:name w:val="Bordered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4">
    <w:name w:val="Bordered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5">
    <w:name w:val="Bordered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6">
    <w:name w:val="Footnote Text Char"/>
    <w:link w:val="1034"/>
    <w:uiPriority w:val="99"/>
    <w:rPr>
      <w:sz w:val="18"/>
    </w:rPr>
  </w:style>
  <w:style w:type="paragraph" w:styleId="987">
    <w:name w:val="endnote text"/>
    <w:basedOn w:val="1001"/>
    <w:link w:val="988"/>
    <w:uiPriority w:val="99"/>
    <w:semiHidden/>
    <w:unhideWhenUsed/>
    <w:pPr>
      <w:spacing w:after="0" w:line="240" w:lineRule="auto"/>
    </w:pPr>
    <w:rPr>
      <w:sz w:val="20"/>
    </w:rPr>
  </w:style>
  <w:style w:type="character" w:styleId="988">
    <w:name w:val="Endnote Text Char"/>
    <w:link w:val="987"/>
    <w:uiPriority w:val="99"/>
    <w:rPr>
      <w:sz w:val="20"/>
    </w:rPr>
  </w:style>
  <w:style w:type="character" w:styleId="989">
    <w:name w:val="endnote reference"/>
    <w:basedOn w:val="1004"/>
    <w:uiPriority w:val="99"/>
    <w:semiHidden/>
    <w:unhideWhenUsed/>
    <w:rPr>
      <w:vertAlign w:val="superscript"/>
    </w:rPr>
  </w:style>
  <w:style w:type="paragraph" w:styleId="990">
    <w:name w:val="toc 1"/>
    <w:basedOn w:val="1001"/>
    <w:next w:val="1001"/>
    <w:uiPriority w:val="39"/>
    <w:unhideWhenUsed/>
    <w:pPr>
      <w:spacing w:after="57"/>
      <w:ind w:left="0" w:right="0" w:firstLine="0"/>
    </w:pPr>
  </w:style>
  <w:style w:type="paragraph" w:styleId="991">
    <w:name w:val="toc 2"/>
    <w:basedOn w:val="1001"/>
    <w:next w:val="1001"/>
    <w:uiPriority w:val="39"/>
    <w:unhideWhenUsed/>
    <w:pPr>
      <w:spacing w:after="57"/>
      <w:ind w:left="283" w:right="0" w:firstLine="0"/>
    </w:pPr>
  </w:style>
  <w:style w:type="paragraph" w:styleId="992">
    <w:name w:val="toc 3"/>
    <w:basedOn w:val="1001"/>
    <w:next w:val="1001"/>
    <w:uiPriority w:val="39"/>
    <w:unhideWhenUsed/>
    <w:pPr>
      <w:spacing w:after="57"/>
      <w:ind w:left="567" w:right="0" w:firstLine="0"/>
    </w:pPr>
  </w:style>
  <w:style w:type="paragraph" w:styleId="993">
    <w:name w:val="toc 4"/>
    <w:basedOn w:val="1001"/>
    <w:next w:val="1001"/>
    <w:uiPriority w:val="39"/>
    <w:unhideWhenUsed/>
    <w:pPr>
      <w:spacing w:after="57"/>
      <w:ind w:left="850" w:right="0" w:firstLine="0"/>
    </w:pPr>
  </w:style>
  <w:style w:type="paragraph" w:styleId="994">
    <w:name w:val="toc 5"/>
    <w:basedOn w:val="1001"/>
    <w:next w:val="1001"/>
    <w:uiPriority w:val="39"/>
    <w:unhideWhenUsed/>
    <w:pPr>
      <w:spacing w:after="57"/>
      <w:ind w:left="1134" w:right="0" w:firstLine="0"/>
    </w:pPr>
  </w:style>
  <w:style w:type="paragraph" w:styleId="995">
    <w:name w:val="toc 6"/>
    <w:basedOn w:val="1001"/>
    <w:next w:val="1001"/>
    <w:uiPriority w:val="39"/>
    <w:unhideWhenUsed/>
    <w:pPr>
      <w:spacing w:after="57"/>
      <w:ind w:left="1417" w:right="0" w:firstLine="0"/>
    </w:pPr>
  </w:style>
  <w:style w:type="paragraph" w:styleId="996">
    <w:name w:val="toc 7"/>
    <w:basedOn w:val="1001"/>
    <w:next w:val="1001"/>
    <w:uiPriority w:val="39"/>
    <w:unhideWhenUsed/>
    <w:pPr>
      <w:spacing w:after="57"/>
      <w:ind w:left="1701" w:right="0" w:firstLine="0"/>
    </w:pPr>
  </w:style>
  <w:style w:type="paragraph" w:styleId="997">
    <w:name w:val="toc 8"/>
    <w:basedOn w:val="1001"/>
    <w:next w:val="1001"/>
    <w:uiPriority w:val="39"/>
    <w:unhideWhenUsed/>
    <w:pPr>
      <w:spacing w:after="57"/>
      <w:ind w:left="1984" w:right="0" w:firstLine="0"/>
    </w:pPr>
  </w:style>
  <w:style w:type="paragraph" w:styleId="998">
    <w:name w:val="toc 9"/>
    <w:basedOn w:val="1001"/>
    <w:next w:val="1001"/>
    <w:uiPriority w:val="39"/>
    <w:unhideWhenUsed/>
    <w:pPr>
      <w:spacing w:after="57"/>
      <w:ind w:left="2268" w:right="0" w:firstLine="0"/>
    </w:pPr>
  </w:style>
  <w:style w:type="paragraph" w:styleId="999">
    <w:name w:val="TOC Heading"/>
    <w:uiPriority w:val="39"/>
    <w:unhideWhenUsed/>
  </w:style>
  <w:style w:type="paragraph" w:styleId="1000">
    <w:name w:val="table of figures"/>
    <w:basedOn w:val="1001"/>
    <w:next w:val="1001"/>
    <w:uiPriority w:val="99"/>
    <w:unhideWhenUsed/>
    <w:pPr>
      <w:spacing w:after="0" w:afterAutospacing="0"/>
    </w:pPr>
  </w:style>
  <w:style w:type="paragraph" w:styleId="1001" w:default="1">
    <w:name w:val="Normal"/>
    <w:qFormat/>
    <w:pPr>
      <w:widowControl w:val="off"/>
    </w:pPr>
  </w:style>
  <w:style w:type="paragraph" w:styleId="1002">
    <w:name w:val="Heading 1"/>
    <w:basedOn w:val="1001"/>
    <w:next w:val="100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03">
    <w:name w:val="Heading 3"/>
    <w:basedOn w:val="1001"/>
    <w:next w:val="1001"/>
    <w:link w:val="1028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styleId="1004" w:default="1">
    <w:name w:val="Default Paragraph Font"/>
    <w:uiPriority w:val="1"/>
    <w:semiHidden/>
    <w:unhideWhenUsed/>
  </w:style>
  <w:style w:type="table" w:styleId="10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6" w:default="1">
    <w:name w:val="No List"/>
    <w:uiPriority w:val="99"/>
    <w:semiHidden/>
    <w:unhideWhenUsed/>
  </w:style>
  <w:style w:type="paragraph" w:styleId="1007">
    <w:name w:val="Title"/>
    <w:basedOn w:val="1001"/>
    <w:link w:val="1014"/>
    <w:qFormat/>
    <w:pPr>
      <w:jc w:val="center"/>
    </w:pPr>
    <w:rPr>
      <w:b/>
      <w:bCs/>
      <w:sz w:val="24"/>
      <w:szCs w:val="24"/>
    </w:rPr>
  </w:style>
  <w:style w:type="paragraph" w:styleId="1008" w:customStyle="1">
    <w:name w:val="Таблицы (моноширинный)"/>
    <w:basedOn w:val="1001"/>
    <w:next w:val="1001"/>
    <w:pPr>
      <w:jc w:val="both"/>
    </w:pPr>
    <w:rPr>
      <w:rFonts w:ascii="Courier New" w:hAnsi="Courier New" w:cs="Courier New"/>
    </w:rPr>
  </w:style>
  <w:style w:type="paragraph" w:styleId="1009">
    <w:name w:val="Body Text Indent 2"/>
    <w:basedOn w:val="1001"/>
    <w:pPr>
      <w:ind w:left="1843"/>
      <w:jc w:val="both"/>
    </w:pPr>
    <w:rPr>
      <w:sz w:val="24"/>
    </w:rPr>
  </w:style>
  <w:style w:type="paragraph" w:styleId="1010">
    <w:name w:val="Balloon Text"/>
    <w:basedOn w:val="1001"/>
    <w:semiHidden/>
    <w:rPr>
      <w:rFonts w:ascii="Tahoma" w:hAnsi="Tahoma" w:cs="Tahoma"/>
      <w:sz w:val="16"/>
      <w:szCs w:val="16"/>
    </w:rPr>
  </w:style>
  <w:style w:type="paragraph" w:styleId="1011">
    <w:name w:val="Body Text 2"/>
    <w:basedOn w:val="1001"/>
    <w:pPr>
      <w:widowControl/>
      <w:spacing w:after="120" w:line="480" w:lineRule="auto"/>
    </w:pPr>
    <w:rPr>
      <w:sz w:val="24"/>
      <w:szCs w:val="24"/>
    </w:rPr>
  </w:style>
  <w:style w:type="paragraph" w:styleId="1012">
    <w:name w:val="Body Text"/>
    <w:basedOn w:val="1001"/>
    <w:link w:val="1015"/>
    <w:pPr>
      <w:spacing w:after="120"/>
    </w:pPr>
  </w:style>
  <w:style w:type="table" w:styleId="1013">
    <w:name w:val="Table Grid"/>
    <w:basedOn w:val="1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4" w:customStyle="1">
    <w:name w:val="Заголовок Знак"/>
    <w:link w:val="1007"/>
    <w:rPr>
      <w:b/>
      <w:bCs/>
      <w:sz w:val="24"/>
      <w:szCs w:val="24"/>
      <w:lang w:val="ru-RU" w:eastAsia="ru-RU" w:bidi="ar-SA"/>
    </w:rPr>
  </w:style>
  <w:style w:type="character" w:styleId="1015" w:customStyle="1">
    <w:name w:val="Основной текст Знак"/>
    <w:link w:val="1012"/>
    <w:rPr>
      <w:lang w:val="ru-RU" w:eastAsia="ru-RU" w:bidi="ar-SA"/>
    </w:rPr>
  </w:style>
  <w:style w:type="paragraph" w:styleId="1016">
    <w:name w:val="Footer"/>
    <w:basedOn w:val="1001"/>
    <w:link w:val="1047"/>
    <w:uiPriority w:val="99"/>
    <w:pPr>
      <w:tabs>
        <w:tab w:val="center" w:pos="4677" w:leader="none"/>
        <w:tab w:val="right" w:pos="9355" w:leader="none"/>
      </w:tabs>
    </w:pPr>
  </w:style>
  <w:style w:type="character" w:styleId="1017">
    <w:name w:val="page number"/>
    <w:basedOn w:val="1004"/>
  </w:style>
  <w:style w:type="paragraph" w:styleId="1018">
    <w:name w:val="Body Text 3"/>
    <w:basedOn w:val="1001"/>
    <w:link w:val="1019"/>
    <w:pPr>
      <w:spacing w:after="120"/>
    </w:pPr>
    <w:rPr>
      <w:sz w:val="16"/>
      <w:szCs w:val="16"/>
    </w:rPr>
  </w:style>
  <w:style w:type="character" w:styleId="1019" w:customStyle="1">
    <w:name w:val="Основной текст 3 Знак"/>
    <w:link w:val="1018"/>
    <w:rPr>
      <w:sz w:val="16"/>
      <w:szCs w:val="16"/>
    </w:rPr>
  </w:style>
  <w:style w:type="character" w:styleId="1020">
    <w:name w:val="annotation reference"/>
    <w:rPr>
      <w:sz w:val="16"/>
      <w:szCs w:val="16"/>
    </w:rPr>
  </w:style>
  <w:style w:type="paragraph" w:styleId="1021">
    <w:name w:val="annotation text"/>
    <w:basedOn w:val="1001"/>
    <w:link w:val="1022"/>
  </w:style>
  <w:style w:type="character" w:styleId="1022" w:customStyle="1">
    <w:name w:val="Текст примечания Знак"/>
    <w:basedOn w:val="1004"/>
    <w:link w:val="1021"/>
  </w:style>
  <w:style w:type="paragraph" w:styleId="1023">
    <w:name w:val="annotation subject"/>
    <w:basedOn w:val="1021"/>
    <w:next w:val="1021"/>
    <w:link w:val="1024"/>
    <w:rPr>
      <w:b/>
      <w:bCs/>
    </w:rPr>
  </w:style>
  <w:style w:type="character" w:styleId="1024" w:customStyle="1">
    <w:name w:val="Тема примечания Знак"/>
    <w:link w:val="1023"/>
    <w:rPr>
      <w:b/>
      <w:bCs/>
    </w:rPr>
  </w:style>
  <w:style w:type="paragraph" w:styleId="1025">
    <w:name w:val="List Paragraph"/>
    <w:basedOn w:val="1001"/>
    <w:uiPriority w:val="34"/>
    <w:qFormat/>
    <w:pPr>
      <w:ind w:left="720"/>
      <w:contextualSpacing/>
    </w:pPr>
  </w:style>
  <w:style w:type="paragraph" w:styleId="1026" w:customStyle="1">
    <w:name w:val="Знак Знак Знак Знак Знак Знак Знак Знак Знак"/>
    <w:basedOn w:val="1001"/>
    <w:uiPriority w:val="99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styleId="1027" w:customStyle="1">
    <w:name w:val="Подпункт договора"/>
    <w:basedOn w:val="1001"/>
    <w:pPr>
      <w:widowControl/>
      <w:tabs>
        <w:tab w:val="num" w:pos="360" w:leader="none"/>
      </w:tabs>
      <w:jc w:val="both"/>
    </w:pPr>
    <w:rPr>
      <w:rFonts w:ascii="Arial" w:hAnsi="Arial"/>
    </w:rPr>
  </w:style>
  <w:style w:type="character" w:styleId="1028" w:customStyle="1">
    <w:name w:val="Заголовок 3 Знак"/>
    <w:link w:val="1003"/>
    <w:semiHidden/>
    <w:rPr>
      <w:rFonts w:ascii="Cambria" w:hAnsi="Cambria" w:eastAsia="Times New Roman" w:cs="Times New Roman"/>
      <w:b/>
      <w:bCs/>
      <w:color w:val="4f81bd"/>
    </w:rPr>
  </w:style>
  <w:style w:type="paragraph" w:styleId="102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30">
    <w:name w:val="Body Text Indent"/>
    <w:basedOn w:val="1001"/>
    <w:link w:val="1031"/>
    <w:pPr>
      <w:spacing w:after="120"/>
      <w:ind w:left="283"/>
    </w:pPr>
  </w:style>
  <w:style w:type="character" w:styleId="1031" w:customStyle="1">
    <w:name w:val="Основной текст с отступом Знак"/>
    <w:basedOn w:val="1004"/>
    <w:link w:val="1030"/>
  </w:style>
  <w:style w:type="paragraph" w:styleId="1032" w:customStyle="1">
    <w:name w:val="Знак"/>
    <w:basedOn w:val="1001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character" w:styleId="1033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34">
    <w:name w:val="footnote text"/>
    <w:basedOn w:val="1001"/>
    <w:link w:val="1035"/>
  </w:style>
  <w:style w:type="character" w:styleId="1035" w:customStyle="1">
    <w:name w:val="Текст сноски Знак"/>
    <w:basedOn w:val="1004"/>
    <w:link w:val="1034"/>
  </w:style>
  <w:style w:type="character" w:styleId="1036">
    <w:name w:val="footnote reference"/>
    <w:rPr>
      <w:vertAlign w:val="superscript"/>
    </w:rPr>
  </w:style>
  <w:style w:type="paragraph" w:styleId="1037">
    <w:name w:val="List Bullet 3"/>
    <w:basedOn w:val="1001"/>
    <w:uiPriority w:val="99"/>
    <w:unhideWhenUsed/>
    <w:pPr>
      <w:widowControl/>
      <w:tabs>
        <w:tab w:val="num" w:pos="1418" w:leader="none"/>
      </w:tabs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styleId="1038" w:customStyle="1">
    <w:name w:val="Контракт-пункт"/>
    <w:basedOn w:val="1001"/>
    <w:pPr>
      <w:widowControl/>
      <w:tabs>
        <w:tab w:val="num" w:pos="851" w:leader="none"/>
      </w:tabs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1039">
    <w:name w:val="Document Map"/>
    <w:basedOn w:val="1001"/>
    <w:semiHidden/>
    <w:pPr>
      <w:shd w:val="clear" w:color="auto" w:fill="000080"/>
    </w:pPr>
    <w:rPr>
      <w:rFonts w:ascii="Tahoma" w:hAnsi="Tahoma" w:cs="Tahoma"/>
    </w:rPr>
  </w:style>
  <w:style w:type="paragraph" w:styleId="1040">
    <w:name w:val="Revision"/>
    <w:hidden/>
    <w:uiPriority w:val="99"/>
    <w:semiHidden/>
  </w:style>
  <w:style w:type="paragraph" w:styleId="1041">
    <w:name w:val="Header"/>
    <w:basedOn w:val="1001"/>
    <w:link w:val="1042"/>
    <w:uiPriority w:val="99"/>
    <w:pPr>
      <w:tabs>
        <w:tab w:val="center" w:pos="4677" w:leader="none"/>
        <w:tab w:val="right" w:pos="9355" w:leader="none"/>
      </w:tabs>
    </w:pPr>
  </w:style>
  <w:style w:type="character" w:styleId="1042" w:customStyle="1">
    <w:name w:val="Верхний колонтитул Знак"/>
    <w:basedOn w:val="1004"/>
    <w:link w:val="1041"/>
    <w:uiPriority w:val="99"/>
  </w:style>
  <w:style w:type="paragraph" w:styleId="1043" w:customStyle="1">
    <w:name w:val="Пункт договора"/>
    <w:basedOn w:val="1001"/>
    <w:pPr>
      <w:jc w:val="both"/>
    </w:pPr>
    <w:rPr>
      <w:rFonts w:ascii="Arial" w:hAnsi="Arial"/>
    </w:rPr>
  </w:style>
  <w:style w:type="paragraph" w:styleId="1044" w:customStyle="1">
    <w:name w:val="Знак Знак Знак Знак Знак Знак Знак Знак Знак1"/>
    <w:basedOn w:val="1001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character" w:styleId="1045">
    <w:name w:val="Hyperlink"/>
    <w:rPr>
      <w:color w:val="0000ff"/>
      <w:u w:val="single"/>
    </w:rPr>
  </w:style>
  <w:style w:type="paragraph" w:styleId="1046" w:customStyle="1">
    <w:name w:val="Обычный1"/>
  </w:style>
  <w:style w:type="character" w:styleId="1047" w:customStyle="1">
    <w:name w:val="Нижний колонтитул Знак"/>
    <w:link w:val="1016"/>
    <w:uiPriority w:val="99"/>
  </w:style>
  <w:style w:type="paragraph" w:styleId="1048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9">
    <w:name w:val="Normal (Web)"/>
    <w:basedOn w:val="1001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styleId="1050" w:customStyle="1">
    <w:name w:val="StGen0"/>
    <w:basedOn w:val="1001"/>
    <w:next w:val="1007"/>
    <w:link w:val="1051"/>
    <w:qFormat/>
    <w:pPr>
      <w:jc w:val="center"/>
    </w:pPr>
    <w:rPr>
      <w:b/>
      <w:bCs/>
      <w:sz w:val="24"/>
      <w:szCs w:val="24"/>
    </w:rPr>
  </w:style>
  <w:style w:type="character" w:styleId="1051" w:customStyle="1">
    <w:name w:val="Название Знак"/>
    <w:link w:val="1050"/>
    <w:rPr>
      <w:b/>
      <w:bCs/>
      <w:sz w:val="24"/>
      <w:szCs w:val="24"/>
    </w:rPr>
  </w:style>
  <w:style w:type="paragraph" w:styleId="1052" w:customStyle="1">
    <w:name w:val="ConsNonformat"/>
    <w:rPr>
      <w:rFonts w:ascii="Courier New" w:hAnsi="Courier New" w:cs="Courier New"/>
    </w:rPr>
  </w:style>
  <w:style w:type="paragraph" w:styleId="1053" w:customStyle="1">
    <w:name w:val="text"/>
    <w:qFormat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240" w:afterAutospacing="0" w:line="240" w:lineRule="auto"/>
      <w:ind w:left="0" w:right="0" w:firstLine="0"/>
      <w:contextualSpacing w:val="0"/>
      <w:jc w:val="left"/>
    </w:pPr>
    <w:rPr>
      <w:rFonts w:ascii="Calibri" w:hAnsi="Calibri" w:eastAsia="Noto Serif CJK SC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malyutina_en</cp:lastModifiedBy>
  <cp:revision>32</cp:revision>
  <dcterms:created xsi:type="dcterms:W3CDTF">2019-09-20T01:52:00Z</dcterms:created>
  <dcterms:modified xsi:type="dcterms:W3CDTF">2026-06-10T03:43:53Z</dcterms:modified>
</cp:coreProperties>
</file>